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19-03-2026 22:40:21 (hora local)</w:t>
      </w:r>
    </w:p>
    <w:p/>
    <w:p>
      <w:pPr>
        <w:pStyle w:val="Heading1"/>
      </w:pPr>
      <w:r>
        <w:t>RESUMEN EJECUTIVO</w:t>
      </w:r>
    </w:p>
    <w:p>
      <w:r>
        <w:t>Periodo evaluado: 2026-03-12 a 2026-03-18</w:t>
        <w:br/>
        <w:t>Ventana de control: 00:00 a 06:00</w:t>
        <w:br/>
        <w:t>Umbral de alerta: &gt; 0.000</w:t>
        <w:br/>
        <w:t>Cantidad de puntos analizados: 3</w:t>
        <w:br/>
        <w:t>Puntos cumpliendo corte: 2</w:t>
        <w:br/>
        <w:t>Puntos fuera de control: 1</w:t>
        <w:br/>
        <w:t>Porcentaje fuera de control: 33.33%</w:t>
      </w:r>
    </w:p>
    <w:p/>
    <w:p>
      <w:r>
        <w:t>Gráfico de cumplimiento de control: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a_torta_control_noctu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4464"/>
        <w:gridCol w:w="4320"/>
        <w:gridCol w:w="1728"/>
        <w:gridCol w:w="1728"/>
      </w:tblGrid>
      <w:tr>
        <w:tc>
          <w:tcPr>
            <w:tcW w:type="dxa" w:w="172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2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Punto (Nombre + ID)</w:t>
            </w:r>
          </w:p>
        </w:tc>
        <w:tc>
          <w:tcPr>
            <w:tcW w:type="dxa" w:w="172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72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Consumo total 00-06</w:t>
            </w:r>
          </w:p>
        </w:tc>
        <w:tc>
          <w:tcPr>
            <w:tcW w:type="dxa" w:w="1728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Máximo por hora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t>2026-03-17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Cumbre de cóndores pte. (000017-07)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06:00(0.100)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0.100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t>0.100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(en esta versión de prueba, 00:00-06:00).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