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06-04-2026 08:35:11 (hora local)</w:t>
      </w:r>
    </w:p>
    <w:p/>
    <w:p>
      <w:pPr>
        <w:pStyle w:val="Heading1"/>
      </w:pPr>
      <w:r>
        <w:t>RESUMEN EJECUTIVO</w:t>
      </w:r>
    </w:p>
    <w:p>
      <w:r>
        <w:t>Periodo evaluado: 2026-04-06 a 2026-04-06</w:t>
        <w:br/>
        <w:t>Ventana de control: segun horario de corte de cada establecimiento (Excel).</w:t>
        <w:br/>
        <w:t>Umbral de alerta: &gt; 0.0</w:t>
        <w:br/>
        <w:t>Cantidad de puntos analizados: 54</w:t>
        <w:br/>
        <w:t>Puntos cumpliendo corte: 31</w:t>
        <w:br/>
        <w:t>Puntos fuera de control: 23</w:t>
        <w:br/>
        <w:t>Porcentaje fuera de control: 42.59%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Estanque Norte Locales Mall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Abastecimiento Sur Terminal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Baños Públicos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Placa Bancaria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Anillo Plaza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03:00-04:00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 Ignacio 500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Estanque Sur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Llenado Pileta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Llenado Pileta Cascada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Sala de Bomba Sandia Nueva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Impulsión Anden 3-4 Restaurante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A.A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00:00-01:00; 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