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07-04-2026 11:04:41 (hora local)</w:t>
      </w:r>
    </w:p>
    <w:p/>
    <w:p>
      <w:pPr>
        <w:pStyle w:val="Heading1"/>
      </w:pPr>
      <w:r>
        <w:t>RESUMEN EJECUTIVO</w:t>
      </w:r>
    </w:p>
    <w:p>
      <w:r>
        <w:t>Periodo evaluado: 2026-04-07 a 2026-04-07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10</w:t>
        <w:br/>
        <w:t>Puntos fuera de control: 11</w:t>
        <w:br/>
        <w:t>Porcentaje fuera de control: 52.38%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03:00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00:00-04:00; 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