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Diferencias de consumo por mes</w:t>
      </w:r>
    </w:p>
    <w:p>
      <w:r>
        <w:t>Nodo: Estanque Norte Locales Mall (000025-01)</w:t>
      </w:r>
    </w:p>
    <w:p>
      <w:r>
        <w:t>Periodo analizado: Mayo 2025 — Abril 2026</w:t>
      </w:r>
    </w:p>
    <w:p>
      <w:r>
        <w:t>Los valores provienen de la suma del consumo diario (totalM3) registrado en la API WES para cada mes civil.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36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erencias_mensuales_000025-01_202505_202604_20260526_16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</w:t>
            </w:r>
          </w:p>
        </w:tc>
        <w:tc>
          <w:tcPr>
            <w:tcW w:type="dxa" w:w="1728"/>
          </w:tcPr>
          <w:p>
            <w:r>
              <w:t>Consumo (m³)</w:t>
            </w:r>
          </w:p>
        </w:tc>
        <w:tc>
          <w:tcPr>
            <w:tcW w:type="dxa" w:w="1728"/>
          </w:tcPr>
          <w:p>
            <w:r>
              <w:t>Días con dato</w:t>
            </w:r>
          </w:p>
        </w:tc>
        <w:tc>
          <w:tcPr>
            <w:tcW w:type="dxa" w:w="1728"/>
          </w:tcPr>
          <w:p>
            <w:r>
              <w:t>Δ m³ vs mes ant.</w:t>
            </w:r>
          </w:p>
        </w:tc>
        <w:tc>
          <w:tcPr>
            <w:tcW w:type="dxa" w:w="1728"/>
          </w:tcPr>
          <w:p>
            <w:r>
              <w:t>Δ % vs mes ant.</w:t>
            </w:r>
          </w:p>
        </w:tc>
      </w:tr>
      <w:tr>
        <w:tc>
          <w:tcPr>
            <w:tcW w:type="dxa" w:w="1728"/>
          </w:tcPr>
          <w:p>
            <w:r>
              <w:t>Mayo 2025</w:t>
            </w:r>
          </w:p>
        </w:tc>
        <w:tc>
          <w:tcPr>
            <w:tcW w:type="dxa" w:w="1728"/>
          </w:tcPr>
          <w:p>
            <w:r>
              <w:t>925,3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Junio 2025</w:t>
            </w:r>
          </w:p>
        </w:tc>
        <w:tc>
          <w:tcPr>
            <w:tcW w:type="dxa" w:w="1728"/>
          </w:tcPr>
          <w:p>
            <w:r>
              <w:t>778,9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-146,4</w:t>
            </w:r>
          </w:p>
        </w:tc>
        <w:tc>
          <w:tcPr>
            <w:tcW w:type="dxa" w:w="1728"/>
          </w:tcPr>
          <w:p>
            <w:r>
              <w:t>-15.8%</w:t>
            </w:r>
          </w:p>
        </w:tc>
      </w:tr>
      <w:tr>
        <w:tc>
          <w:tcPr>
            <w:tcW w:type="dxa" w:w="1728"/>
          </w:tcPr>
          <w:p>
            <w:r>
              <w:t>Julio 2025</w:t>
            </w:r>
          </w:p>
        </w:tc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-58,9</w:t>
            </w:r>
          </w:p>
        </w:tc>
        <w:tc>
          <w:tcPr>
            <w:tcW w:type="dxa" w:w="1728"/>
          </w:tcPr>
          <w:p>
            <w:r>
              <w:t>-7.6%</w:t>
            </w:r>
          </w:p>
        </w:tc>
      </w:tr>
      <w:tr>
        <w:tc>
          <w:tcPr>
            <w:tcW w:type="dxa" w:w="1728"/>
          </w:tcPr>
          <w:p>
            <w:r>
              <w:t>Agosto 2025</w:t>
            </w:r>
          </w:p>
        </w:tc>
        <w:tc>
          <w:tcPr>
            <w:tcW w:type="dxa" w:w="1728"/>
          </w:tcPr>
          <w:p>
            <w:r>
              <w:t>618,2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-101,8</w:t>
            </w:r>
          </w:p>
        </w:tc>
        <w:tc>
          <w:tcPr>
            <w:tcW w:type="dxa" w:w="1728"/>
          </w:tcPr>
          <w:p>
            <w:r>
              <w:t>-14.1%</w:t>
            </w:r>
          </w:p>
        </w:tc>
      </w:tr>
      <w:tr>
        <w:tc>
          <w:tcPr>
            <w:tcW w:type="dxa" w:w="1728"/>
          </w:tcPr>
          <w:p>
            <w:r>
              <w:t>Septiembre 2025</w:t>
            </w:r>
          </w:p>
        </w:tc>
        <w:tc>
          <w:tcPr>
            <w:tcW w:type="dxa" w:w="1728"/>
          </w:tcPr>
          <w:p>
            <w:r>
              <w:t>400,7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-217,5</w:t>
            </w:r>
          </w:p>
        </w:tc>
        <w:tc>
          <w:tcPr>
            <w:tcW w:type="dxa" w:w="1728"/>
          </w:tcPr>
          <w:p>
            <w:r>
              <w:t>-35.2%</w:t>
            </w:r>
          </w:p>
        </w:tc>
      </w:tr>
      <w:tr>
        <w:tc>
          <w:tcPr>
            <w:tcW w:type="dxa" w:w="1728"/>
          </w:tcPr>
          <w:p>
            <w:r>
              <w:t>Octubre 2025</w:t>
            </w:r>
          </w:p>
        </w:tc>
        <w:tc>
          <w:tcPr>
            <w:tcW w:type="dxa" w:w="1728"/>
          </w:tcPr>
          <w:p>
            <w:r>
              <w:t>799,2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398,4</w:t>
            </w:r>
          </w:p>
        </w:tc>
        <w:tc>
          <w:tcPr>
            <w:tcW w:type="dxa" w:w="1728"/>
          </w:tcPr>
          <w:p>
            <w:r>
              <w:t>99.4%</w:t>
            </w:r>
          </w:p>
        </w:tc>
      </w:tr>
      <w:tr>
        <w:tc>
          <w:tcPr>
            <w:tcW w:type="dxa" w:w="1728"/>
          </w:tcPr>
          <w:p>
            <w:r>
              <w:t>Noviembre 2025</w:t>
            </w:r>
          </w:p>
        </w:tc>
        <w:tc>
          <w:tcPr>
            <w:tcW w:type="dxa" w:w="1728"/>
          </w:tcPr>
          <w:p>
            <w:r>
              <w:t>847,5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48,3</w:t>
            </w:r>
          </w:p>
        </w:tc>
        <w:tc>
          <w:tcPr>
            <w:tcW w:type="dxa" w:w="1728"/>
          </w:tcPr>
          <w:p>
            <w:r>
              <w:t>6.0%</w:t>
            </w:r>
          </w:p>
        </w:tc>
      </w:tr>
      <w:tr>
        <w:tc>
          <w:tcPr>
            <w:tcW w:type="dxa" w:w="1728"/>
          </w:tcPr>
          <w:p>
            <w:r>
              <w:t>Diciembre 2025</w:t>
            </w:r>
          </w:p>
        </w:tc>
        <w:tc>
          <w:tcPr>
            <w:tcW w:type="dxa" w:w="1728"/>
          </w:tcPr>
          <w:p>
            <w:r>
              <w:t>942,9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95,5</w:t>
            </w:r>
          </w:p>
        </w:tc>
        <w:tc>
          <w:tcPr>
            <w:tcW w:type="dxa" w:w="1728"/>
          </w:tcPr>
          <w:p>
            <w:r>
              <w:t>11.3%</w:t>
            </w:r>
          </w:p>
        </w:tc>
      </w:tr>
      <w:tr>
        <w:tc>
          <w:tcPr>
            <w:tcW w:type="dxa" w:w="1728"/>
          </w:tcPr>
          <w:p>
            <w:r>
              <w:t>Enero 2026</w:t>
            </w:r>
          </w:p>
        </w:tc>
        <w:tc>
          <w:tcPr>
            <w:tcW w:type="dxa" w:w="1728"/>
          </w:tcPr>
          <w:p>
            <w:r>
              <w:t>920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-23</w:t>
            </w:r>
          </w:p>
        </w:tc>
        <w:tc>
          <w:tcPr>
            <w:tcW w:type="dxa" w:w="1728"/>
          </w:tcPr>
          <w:p>
            <w:r>
              <w:t>-2.4%</w:t>
            </w:r>
          </w:p>
        </w:tc>
      </w:tr>
      <w:tr>
        <w:tc>
          <w:tcPr>
            <w:tcW w:type="dxa" w:w="1728"/>
          </w:tcPr>
          <w:p>
            <w:r>
              <w:t>Febrero 2026</w:t>
            </w:r>
          </w:p>
        </w:tc>
        <w:tc>
          <w:tcPr>
            <w:tcW w:type="dxa" w:w="1728"/>
          </w:tcPr>
          <w:p>
            <w:r>
              <w:t>942,4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22,5</w:t>
            </w:r>
          </w:p>
        </w:tc>
        <w:tc>
          <w:tcPr>
            <w:tcW w:type="dxa" w:w="1728"/>
          </w:tcPr>
          <w:p>
            <w:r>
              <w:t>2.4%</w:t>
            </w:r>
          </w:p>
        </w:tc>
      </w:tr>
      <w:tr>
        <w:tc>
          <w:tcPr>
            <w:tcW w:type="dxa" w:w="1728"/>
          </w:tcPr>
          <w:p>
            <w:r>
              <w:t>Marzo 2026</w:t>
            </w:r>
          </w:p>
        </w:tc>
        <w:tc>
          <w:tcPr>
            <w:tcW w:type="dxa" w:w="1728"/>
          </w:tcPr>
          <w:p>
            <w:r>
              <w:t>1.188,1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245,7</w:t>
            </w:r>
          </w:p>
        </w:tc>
        <w:tc>
          <w:tcPr>
            <w:tcW w:type="dxa" w:w="1728"/>
          </w:tcPr>
          <w:p>
            <w:r>
              <w:t>26.1%</w:t>
            </w:r>
          </w:p>
        </w:tc>
      </w:tr>
      <w:tr>
        <w:tc>
          <w:tcPr>
            <w:tcW w:type="dxa" w:w="1728"/>
          </w:tcPr>
          <w:p>
            <w:r>
              <w:t>Abril 2026</w:t>
            </w:r>
          </w:p>
        </w:tc>
        <w:tc>
          <w:tcPr>
            <w:tcW w:type="dxa" w:w="1728"/>
          </w:tcPr>
          <w:p>
            <w:r>
              <w:t>1.057,7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-130,4</w:t>
            </w:r>
          </w:p>
        </w:tc>
        <w:tc>
          <w:tcPr>
            <w:tcW w:type="dxa" w:w="1728"/>
          </w:tcPr>
          <w:p>
            <w:r>
              <w:t>-11.0%</w:t>
            </w:r>
          </w:p>
        </w:tc>
      </w:tr>
    </w:tbl>
    <w:p/>
    <w:p>
      <w:pPr>
        <w:pStyle w:val="Heading1"/>
      </w:pPr>
      <w:r>
        <w:t>Observaciones</w:t>
      </w:r>
    </w:p>
    <w:p>
      <w:pPr>
        <w:jc w:val="both"/>
      </w:pPr>
      <w:r>
        <w:t>En el periodo, el consumo acumulado fue 10.140,8 m³. El mes de mayor consumo fue Marzo 2026 (1.188,1 m³) y el de menor consumo fue Septiembre 2025 (400,7 m³).</w:t>
      </w:r>
    </w:p>
    <w:p>
      <w:r>
        <w:t>La mayor subida respecto al mes anterior se registró en Octubre 2025 (398,4 m³, 99.4%). La mayor baja fue en Septiembre 2025 (-217,5 m³, -35.2%).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