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Demostración de ahorro WES</w:t>
      </w:r>
    </w:p>
    <w:p>
      <w:pPr>
        <w:jc w:val="center"/>
      </w:pPr>
      <w:r>
        <w:rPr>
          <w:sz w:val="24"/>
        </w:rPr>
        <w:t>Corporación Puente Alto — 11 establecimientos educacionales</w:t>
      </w:r>
    </w:p>
    <w:p>
      <w:r>
        <w:t>Documento breve | 16 de June de 2026</w:t>
      </w:r>
    </w:p>
    <w:p>
      <w:pPr>
        <w:pStyle w:val="Heading1"/>
      </w:pPr>
      <w:r>
        <w:t>1. Qué se comparó</w:t>
      </w:r>
    </w:p>
    <w:p>
      <w:r>
        <w:t>Este informe contrasta mediciones reales de la API WES en dos condiciones operativas distintas:</w:t>
      </w:r>
    </w:p>
    <w:p>
      <w:pPr>
        <w:pStyle w:val="ListBullet"/>
      </w:pPr>
      <w:r>
        <w:t>Con WES (25–31 mayo 2026): estados de corte de agua activos y reducción de caudal en horario diurno.</w:t>
      </w:r>
    </w:p>
    <w:p>
      <w:pPr>
        <w:pStyle w:val="ListBullet"/>
      </w:pPr>
      <w:r>
        <w:t>Sin WES (9–15 junio 2026): cortes desactivados y caudal sin restricción — condición medida, no estimada.</w:t>
      </w:r>
    </w:p>
    <w:p>
      <w:pPr>
        <w:pStyle w:val="Heading1"/>
      </w:pPr>
      <w:r>
        <w:t>2. Resultado principal</w:t>
      </w:r>
    </w:p>
    <w:p>
      <w:r>
        <w:rPr>
          <w:b/>
        </w:rPr>
        <w:t>Establecimientos en operación</w:t>
      </w:r>
      <w:r>
        <w:t xml:space="preserve"> (8 de 11, con actividad en junio ≥60% de mayo): sin WES consumieron 2.614,7 m³/semana vs 2.495,2 m³/semana con WES. Ahorro medido: 119,6 m³/semana (4.6%). Equivalente a $155.428/semana.</w:t>
      </w:r>
    </w:p>
    <w:p>
      <w:r>
        <w:t>El ahorro se concentra en la reducción de caudal diurno (168,4 m³/semana), mecanismo central de WES cuando el sistema está activo.</w:t>
      </w:r>
    </w:p>
    <w:p>
      <w:pPr>
        <w:pStyle w:val="Heading1"/>
      </w:pPr>
      <w:r>
        <w:t>3. Evidencias de indispensabilidad</w:t>
      </w:r>
    </w:p>
    <w:p>
      <w:pPr>
        <w:pStyle w:val="Heading2"/>
      </w:pPr>
      <w:r>
        <w:t>3.1 Casos donde desactivar WES aumentó el consumo</w:t>
      </w:r>
    </w:p>
    <w:p>
      <w:pPr>
        <w:pStyle w:val="ListBullet"/>
      </w:pPr>
      <w:r>
        <w:t>Esc. Villa Independencia: +179,4 m³/semana sin WES (26.3% más que con cortes activos).</w:t>
      </w:r>
    </w:p>
    <w:p>
      <w:pPr>
        <w:pStyle w:val="ListBullet"/>
      </w:pPr>
      <w:r>
        <w:t>Esc. Los Andes: +147,0 m³/semana sin WES (31.9% más que con cortes activos).</w:t>
      </w:r>
    </w:p>
    <w:p>
      <w:pPr>
        <w:pStyle w:val="ListBullet"/>
      </w:pPr>
      <w:r>
        <w:t>Liceo Chiloé: +15,3 m³/semana sin WES (3.4% más que con cortes activos).</w:t>
      </w:r>
    </w:p>
    <w:p>
      <w:pPr>
        <w:pStyle w:val="Heading2"/>
      </w:pPr>
      <w:r>
        <w:t>3.2 Consumo sin control cuando WES está apagado</w:t>
      </w:r>
    </w:p>
    <w:p>
      <w:r>
        <w:t>Con cortes desactivados, los establecimientos operativos mantienen consumo en horario nocturno (717,4 m³/semana agregados), confirmando que sin WES la red sigue entregando agua en periodos sin demanda escolar.</w:t>
      </w:r>
    </w:p>
    <w:p>
      <w:pPr>
        <w:pStyle w:val="Heading2"/>
      </w:pPr>
      <w:r>
        <w:t>3.3 Establecimientos con baja actividad en junio (no comparables)</w:t>
      </w:r>
    </w:p>
    <w:p>
      <w:pPr>
        <w:pStyle w:val="ListBullet"/>
      </w:pPr>
      <w:r>
        <w:t>Esc. Gabriela: 9,1 m³ vs 72,9 m³ en mayo (fin de clases / operación mínima).</w:t>
      </w:r>
    </w:p>
    <w:p>
      <w:pPr>
        <w:pStyle w:val="ListBullet"/>
      </w:pPr>
      <w:r>
        <w:t>Esc. Padre Hurtado: 14,1 m³ vs 103,6 m³ en mayo (fin de clases / operación mínima).</w:t>
      </w:r>
    </w:p>
    <w:p>
      <w:r>
        <w:t>Estos recintos se excluyen del cálculo principal para no distorsionar el ahorro atribuible a WES.</w:t>
      </w:r>
    </w:p>
    <w:p>
      <w:pPr>
        <w:pStyle w:val="Heading1"/>
      </w:pPr>
      <w:r>
        <w:t>4. Proyección junio 2026 (mes sin sistema)</w:t>
      </w:r>
    </w:p>
    <w:p>
      <w:r>
        <w:t>Con base en el ritmo medido del 1 al 15 de junio (sin WES) y el ritmo de mayo completo (con WES):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Escenario junio sin WES (proyección 30 días)</w:t>
            </w:r>
          </w:p>
        </w:tc>
        <w:tc>
          <w:tcPr>
            <w:tcW w:type="dxa" w:w="4320"/>
          </w:tcPr>
          <w:p>
            <w:r>
              <w:t>11.368,0 m³</w:t>
            </w:r>
          </w:p>
        </w:tc>
      </w:tr>
      <w:tr>
        <w:tc>
          <w:tcPr>
            <w:tcW w:type="dxa" w:w="4320"/>
          </w:tcPr>
          <w:p>
            <w:r>
              <w:t>Escenario junio con WES activo (proyección)</w:t>
            </w:r>
          </w:p>
        </w:tc>
        <w:tc>
          <w:tcPr>
            <w:tcW w:type="dxa" w:w="4320"/>
          </w:tcPr>
          <w:p>
            <w:r>
              <w:t>9.836,0 m³</w:t>
            </w:r>
          </w:p>
        </w:tc>
      </w:tr>
      <w:tr>
        <w:tc>
          <w:tcPr>
            <w:tcW w:type="dxa" w:w="4320"/>
          </w:tcPr>
          <w:p>
            <w:r>
              <w:t>Agua evitada con WES en junio</w:t>
            </w:r>
          </w:p>
        </w:tc>
        <w:tc>
          <w:tcPr>
            <w:tcW w:type="dxa" w:w="4320"/>
          </w:tcPr>
          <w:p>
            <w:r>
              <w:t>1.532,0 m³</w:t>
            </w:r>
          </w:p>
        </w:tc>
      </w:tr>
      <w:tr>
        <w:tc>
          <w:tcPr>
            <w:tcW w:type="dxa" w:w="4320"/>
          </w:tcPr>
          <w:p>
            <w:r>
              <w:t>Ahorro económico estimado (@$1.300/m³)</w:t>
            </w:r>
          </w:p>
        </w:tc>
        <w:tc>
          <w:tcPr>
            <w:tcW w:type="dxa" w:w="4320"/>
          </w:tcPr>
          <w:p>
            <w:r>
              <w:t>$1.991.600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204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breve_proy_jun_20260616_14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Conclusión</w:t>
      </w:r>
    </w:p>
    <w:p>
      <w:r>
        <w:t>La desactivación real de los cortes WES —no una proyección teórica— incrementó el consumo en los colegios que siguieron operando, con casos de hasta +179,4 m³/semana. Proyectado a todo junio, operar sin WES implicaría ~1.532,0 m³ adicionales ($1.991.600) respecto de mantener el sistema activo.</w:t>
      </w:r>
    </w:p>
    <w:p>
      <w:r>
        <w:t>WES es indispensable para: (1) interrumpir el suministro en horarios sin demanda, (2) limitar el caudal diurno según perfil escolar, y (3) generar trazabilidad que permite detectar consumos anómalos y fugas.</w:t>
      </w:r>
    </w:p>
    <w:p>
      <w:pPr>
        <w:pStyle w:val="Heading1"/>
      </w:pPr>
      <w:r>
        <w:t>Anexo: detalle por colegio (operativos)</w:t>
      </w:r>
    </w:p>
    <w:p>
      <w:r>
        <w:drawing>
          <wp:inline xmlns:a="http://schemas.openxmlformats.org/drawingml/2006/main" xmlns:pic="http://schemas.openxmlformats.org/drawingml/2006/picture">
            <wp:extent cx="5669280" cy="3376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breve_barras_20260616_14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67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Establecimiento</w:t>
            </w:r>
          </w:p>
        </w:tc>
        <w:tc>
          <w:tcPr>
            <w:tcW w:type="dxa" w:w="1728"/>
          </w:tcPr>
          <w:p>
            <w:r>
              <w:t>Con WES (m³)</w:t>
            </w:r>
          </w:p>
        </w:tc>
        <w:tc>
          <w:tcPr>
            <w:tcW w:type="dxa" w:w="1728"/>
          </w:tcPr>
          <w:p>
            <w:r>
              <w:t>Sin WES (m³)</w:t>
            </w:r>
          </w:p>
        </w:tc>
        <w:tc>
          <w:tcPr>
            <w:tcW w:type="dxa" w:w="1728"/>
          </w:tcPr>
          <w:p>
            <w:r>
              <w:t>Ahorro (m³)</w:t>
            </w:r>
          </w:p>
        </w:tc>
        <w:tc>
          <w:tcPr>
            <w:tcW w:type="dxa" w:w="1728"/>
          </w:tcPr>
          <w:p>
            <w:r>
              <w:t>Ahorro (%)</w:t>
            </w:r>
          </w:p>
        </w:tc>
      </w:tr>
      <w:tr>
        <w:tc>
          <w:tcPr>
            <w:tcW w:type="dxa" w:w="1728"/>
          </w:tcPr>
          <w:p>
            <w:r>
              <w:t>Esc. Villa Independencia</w:t>
            </w:r>
          </w:p>
        </w:tc>
        <w:tc>
          <w:tcPr>
            <w:tcW w:type="dxa" w:w="1728"/>
          </w:tcPr>
          <w:p>
            <w:r>
              <w:t>503,1</w:t>
            </w:r>
          </w:p>
        </w:tc>
        <w:tc>
          <w:tcPr>
            <w:tcW w:type="dxa" w:w="1728"/>
          </w:tcPr>
          <w:p>
            <w:r>
              <w:t>682,5</w:t>
            </w:r>
          </w:p>
        </w:tc>
        <w:tc>
          <w:tcPr>
            <w:tcW w:type="dxa" w:w="1728"/>
          </w:tcPr>
          <w:p>
            <w:r>
              <w:t>179,4</w:t>
            </w:r>
          </w:p>
        </w:tc>
        <w:tc>
          <w:tcPr>
            <w:tcW w:type="dxa" w:w="1728"/>
          </w:tcPr>
          <w:p>
            <w:r>
              <w:t>26.3%</w:t>
            </w:r>
          </w:p>
        </w:tc>
      </w:tr>
      <w:tr>
        <w:tc>
          <w:tcPr>
            <w:tcW w:type="dxa" w:w="1728"/>
          </w:tcPr>
          <w:p>
            <w:r>
              <w:t>Esc. Los Andes</w:t>
            </w:r>
          </w:p>
        </w:tc>
        <w:tc>
          <w:tcPr>
            <w:tcW w:type="dxa" w:w="1728"/>
          </w:tcPr>
          <w:p>
            <w:r>
              <w:t>313,9</w:t>
            </w:r>
          </w:p>
        </w:tc>
        <w:tc>
          <w:tcPr>
            <w:tcW w:type="dxa" w:w="1728"/>
          </w:tcPr>
          <w:p>
            <w:r>
              <w:t>460,9</w:t>
            </w:r>
          </w:p>
        </w:tc>
        <w:tc>
          <w:tcPr>
            <w:tcW w:type="dxa" w:w="1728"/>
          </w:tcPr>
          <w:p>
            <w:r>
              <w:t>147,0</w:t>
            </w:r>
          </w:p>
        </w:tc>
        <w:tc>
          <w:tcPr>
            <w:tcW w:type="dxa" w:w="1728"/>
          </w:tcPr>
          <w:p>
            <w:r>
              <w:t>31.9%</w:t>
            </w:r>
          </w:p>
        </w:tc>
      </w:tr>
      <w:tr>
        <w:tc>
          <w:tcPr>
            <w:tcW w:type="dxa" w:w="1728"/>
          </w:tcPr>
          <w:p>
            <w:r>
              <w:t>Liceo Chiloé</w:t>
            </w:r>
          </w:p>
        </w:tc>
        <w:tc>
          <w:tcPr>
            <w:tcW w:type="dxa" w:w="1728"/>
          </w:tcPr>
          <w:p>
            <w:r>
              <w:t>434,3</w:t>
            </w:r>
          </w:p>
        </w:tc>
        <w:tc>
          <w:tcPr>
            <w:tcW w:type="dxa" w:w="1728"/>
          </w:tcPr>
          <w:p>
            <w:r>
              <w:t>449,6</w:t>
            </w:r>
          </w:p>
        </w:tc>
        <w:tc>
          <w:tcPr>
            <w:tcW w:type="dxa" w:w="1728"/>
          </w:tcPr>
          <w:p>
            <w:r>
              <w:t>15,3</w:t>
            </w:r>
          </w:p>
        </w:tc>
        <w:tc>
          <w:tcPr>
            <w:tcW w:type="dxa" w:w="1728"/>
          </w:tcPr>
          <w:p>
            <w:r>
              <w:t>3.4%</w:t>
            </w:r>
          </w:p>
        </w:tc>
      </w:tr>
      <w:tr>
        <w:tc>
          <w:tcPr>
            <w:tcW w:type="dxa" w:w="1728"/>
          </w:tcPr>
          <w:p>
            <w:r>
              <w:t>Esc. Juan Mackenna</w:t>
            </w:r>
          </w:p>
        </w:tc>
        <w:tc>
          <w:tcPr>
            <w:tcW w:type="dxa" w:w="1728"/>
          </w:tcPr>
          <w:p>
            <w:r>
              <w:t>128,0</w:t>
            </w:r>
          </w:p>
        </w:tc>
        <w:tc>
          <w:tcPr>
            <w:tcW w:type="dxa" w:w="1728"/>
          </w:tcPr>
          <w:p>
            <w:r>
              <w:t>124,8</w:t>
            </w:r>
          </w:p>
        </w:tc>
        <w:tc>
          <w:tcPr>
            <w:tcW w:type="dxa" w:w="1728"/>
          </w:tcPr>
          <w:p>
            <w:r>
              <w:t>-3,1</w:t>
            </w:r>
          </w:p>
        </w:tc>
        <w:tc>
          <w:tcPr>
            <w:tcW w:type="dxa" w:w="1728"/>
          </w:tcPr>
          <w:p>
            <w:r>
              <w:t>-2.5%</w:t>
            </w:r>
          </w:p>
        </w:tc>
      </w:tr>
      <w:tr>
        <w:tc>
          <w:tcPr>
            <w:tcW w:type="dxa" w:w="1728"/>
          </w:tcPr>
          <w:p>
            <w:r>
              <w:t>Esc. Luis Matte Larraín</w:t>
            </w:r>
          </w:p>
        </w:tc>
        <w:tc>
          <w:tcPr>
            <w:tcW w:type="dxa" w:w="1728"/>
          </w:tcPr>
          <w:p>
            <w:r>
              <w:t>91,2</w:t>
            </w:r>
          </w:p>
        </w:tc>
        <w:tc>
          <w:tcPr>
            <w:tcW w:type="dxa" w:w="1728"/>
          </w:tcPr>
          <w:p>
            <w:r>
              <w:t>88,0</w:t>
            </w:r>
          </w:p>
        </w:tc>
        <w:tc>
          <w:tcPr>
            <w:tcW w:type="dxa" w:w="1728"/>
          </w:tcPr>
          <w:p>
            <w:r>
              <w:t>-3,3</w:t>
            </w:r>
          </w:p>
        </w:tc>
        <w:tc>
          <w:tcPr>
            <w:tcW w:type="dxa" w:w="1728"/>
          </w:tcPr>
          <w:p>
            <w:r>
              <w:t>-3.7%</w:t>
            </w:r>
          </w:p>
        </w:tc>
      </w:tr>
      <w:tr>
        <w:tc>
          <w:tcPr>
            <w:tcW w:type="dxa" w:w="1728"/>
          </w:tcPr>
          <w:p>
            <w:r>
              <w:t>Esc. Nonato Coo</w:t>
            </w:r>
          </w:p>
        </w:tc>
        <w:tc>
          <w:tcPr>
            <w:tcW w:type="dxa" w:w="1728"/>
          </w:tcPr>
          <w:p>
            <w:r>
              <w:t>64,4</w:t>
            </w:r>
          </w:p>
        </w:tc>
        <w:tc>
          <w:tcPr>
            <w:tcW w:type="dxa" w:w="1728"/>
          </w:tcPr>
          <w:p>
            <w:r>
              <w:t>53,4</w:t>
            </w:r>
          </w:p>
        </w:tc>
        <w:tc>
          <w:tcPr>
            <w:tcW w:type="dxa" w:w="1728"/>
          </w:tcPr>
          <w:p>
            <w:r>
              <w:t>-11,1</w:t>
            </w:r>
          </w:p>
        </w:tc>
        <w:tc>
          <w:tcPr>
            <w:tcW w:type="dxa" w:w="1728"/>
          </w:tcPr>
          <w:p>
            <w:r>
              <w:t>-20.7%</w:t>
            </w:r>
          </w:p>
        </w:tc>
      </w:tr>
      <w:tr>
        <w:tc>
          <w:tcPr>
            <w:tcW w:type="dxa" w:w="1728"/>
          </w:tcPr>
          <w:p>
            <w:r>
              <w:t>Colegio Maipo</w:t>
            </w:r>
          </w:p>
        </w:tc>
        <w:tc>
          <w:tcPr>
            <w:tcW w:type="dxa" w:w="1728"/>
          </w:tcPr>
          <w:p>
            <w:r>
              <w:t>160,2</w:t>
            </w:r>
          </w:p>
        </w:tc>
        <w:tc>
          <w:tcPr>
            <w:tcW w:type="dxa" w:w="1728"/>
          </w:tcPr>
          <w:p>
            <w:r>
              <w:t>117,5</w:t>
            </w:r>
          </w:p>
        </w:tc>
        <w:tc>
          <w:tcPr>
            <w:tcW w:type="dxa" w:w="1728"/>
          </w:tcPr>
          <w:p>
            <w:r>
              <w:t>-42,7</w:t>
            </w:r>
          </w:p>
        </w:tc>
        <w:tc>
          <w:tcPr>
            <w:tcW w:type="dxa" w:w="1728"/>
          </w:tcPr>
          <w:p>
            <w:r>
              <w:t>-36.4%</w:t>
            </w:r>
          </w:p>
        </w:tc>
      </w:tr>
      <w:tr>
        <w:tc>
          <w:tcPr>
            <w:tcW w:type="dxa" w:w="1728"/>
          </w:tcPr>
          <w:p>
            <w:r>
              <w:t>Escuela Andes del SUR</w:t>
            </w:r>
          </w:p>
        </w:tc>
        <w:tc>
          <w:tcPr>
            <w:tcW w:type="dxa" w:w="1728"/>
          </w:tcPr>
          <w:p>
            <w:r>
              <w:t>465,8</w:t>
            </w:r>
          </w:p>
        </w:tc>
        <w:tc>
          <w:tcPr>
            <w:tcW w:type="dxa" w:w="1728"/>
          </w:tcPr>
          <w:p>
            <w:r>
              <w:t>404,4</w:t>
            </w:r>
          </w:p>
        </w:tc>
        <w:tc>
          <w:tcPr>
            <w:tcW w:type="dxa" w:w="1728"/>
          </w:tcPr>
          <w:p>
            <w:r>
              <w:t>-61,4</w:t>
            </w:r>
          </w:p>
        </w:tc>
        <w:tc>
          <w:tcPr>
            <w:tcW w:type="dxa" w:w="1728"/>
          </w:tcPr>
          <w:p>
            <w:r>
              <w:t>-15.2%</w:t>
            </w:r>
          </w:p>
        </w:tc>
      </w:tr>
      <w:tr>
        <w:tc>
          <w:tcPr>
            <w:tcW w:type="dxa" w:w="1728"/>
          </w:tcPr>
          <w:p>
            <w:r>
              <w:t>Consolidada</w:t>
            </w:r>
          </w:p>
        </w:tc>
        <w:tc>
          <w:tcPr>
            <w:tcW w:type="dxa" w:w="1728"/>
          </w:tcPr>
          <w:p>
            <w:r>
              <w:t>334,2</w:t>
            </w:r>
          </w:p>
        </w:tc>
        <w:tc>
          <w:tcPr>
            <w:tcW w:type="dxa" w:w="1728"/>
          </w:tcPr>
          <w:p>
            <w:r>
              <w:t>233,6</w:t>
            </w:r>
          </w:p>
        </w:tc>
        <w:tc>
          <w:tcPr>
            <w:tcW w:type="dxa" w:w="1728"/>
          </w:tcPr>
          <w:p>
            <w:r>
              <w:t>-100,6</w:t>
            </w:r>
          </w:p>
        </w:tc>
        <w:tc>
          <w:tcPr>
            <w:tcW w:type="dxa" w:w="1728"/>
          </w:tcPr>
          <w:p>
            <w:r>
              <w:t>-43.1%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