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Auditoría ICCO</w:t>
      </w:r>
    </w:p>
    <w:p>
      <w:pPr>
        <w:spacing w:before="40" w:after="160"/>
        <w:jc w:val="center"/>
      </w:pPr>
      <w:r>
        <w:rPr>
          <w:rFonts w:ascii="Calibri" w:hAnsi="Calibri"/>
          <w:i/>
          <w:color w:val="5A5A5A"/>
          <w:sz w:val="20"/>
        </w:rPr>
        <w:t>Auditoria_ICCO</w:t>
      </w:r>
    </w:p>
    <w:p>
      <w:pPr>
        <w:spacing w:after="80"/>
        <w:jc w:val="center"/>
      </w:pPr>
      <w:r>
        <w:rPr>
          <w:rFonts w:ascii="Calibri" w:hAnsi="Calibri"/>
          <w:b/>
          <w:color w:val="1F4788"/>
          <w:sz w:val="34"/>
        </w:rPr>
        <w:t>Colegio ICCO Renca</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23 y el 29 de marzo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Colegio ICCO Renca, punto de medición WES 000017-08 (Colegio ICCO Renca), las series se construyen además en rejilla horaria a partir de datos de la plataforma en zona horaria Chile, para el periodo con control (23-03-2026 al 29-03-2026)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67466"/>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67466"/>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23 al 29 marzo 2026</w:t>
            </w:r>
          </w:p>
        </w:tc>
        <w:tc>
          <w:tcPr>
            <w:tcW w:type="dxa" w:w="2362"/>
            <w:shd w:val="clear" w:fill="FFFFFF"/>
          </w:tcPr>
          <w:p>
            <w:pPr>
              <w:jc w:val="left"/>
            </w:pPr>
            <w:r>
              <w:rPr>
                <w:b w:val="0"/>
                <w:color w:val="000000"/>
              </w:rPr>
              <w:t>202,1</w:t>
            </w:r>
          </w:p>
        </w:tc>
        <w:tc>
          <w:tcPr>
            <w:tcW w:type="dxa" w:w="2362"/>
            <w:shd w:val="clear" w:fill="FFFFFF"/>
          </w:tcPr>
          <w:p>
            <w:pPr>
              <w:jc w:val="left"/>
            </w:pPr>
            <w:r>
              <w:rPr>
                <w:b w:val="0"/>
                <w:color w:val="000000"/>
              </w:rPr>
              <w:t>28,871</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339,9</w:t>
            </w:r>
          </w:p>
        </w:tc>
        <w:tc>
          <w:tcPr>
            <w:tcW w:type="dxa" w:w="2362"/>
            <w:shd w:val="clear" w:fill="FFFFFF"/>
          </w:tcPr>
          <w:p>
            <w:pPr>
              <w:jc w:val="left"/>
            </w:pPr>
            <w:r>
              <w:rPr>
                <w:b w:val="0"/>
                <w:color w:val="000000"/>
              </w:rPr>
              <w:t>48,557</w:t>
            </w:r>
          </w:p>
        </w:tc>
      </w:tr>
    </w:tbl>
    <w:p>
      <w:pPr>
        <w:spacing w:after="120"/>
      </w:pPr>
    </w:p>
    <w:p>
      <w:pPr>
        <w:keepNext w:val="0"/>
        <w:widowControl/>
        <w:jc w:val="both"/>
      </w:pPr>
      <w:r>
        <w:t>Métricas y serie horaria (jornada completa) exportadas: cpa_icco_renca_borrador_000017-08.csv.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pStyle w:val="Ttulo2"/>
        <w:keepNext/>
        <w:widowControl/>
        <w:spacing w:after="160"/>
      </w:pPr>
      <w:r>
        <w:rPr>
          <w:rFonts w:ascii="Calibri" w:hAnsi="Calibri"/>
          <w:b/>
          <w:color w:val="1F4788"/>
          <w:sz w:val="26"/>
        </w:rPr>
        <w:t>Gráfico comparativo diario #1.</w:t>
      </w:r>
    </w:p>
    <w:p>
      <w:pPr>
        <w:keepNext/>
        <w:widowControl/>
        <w:spacing w:after="60"/>
        <w:jc w:val="center"/>
      </w:pPr>
      <w:r>
        <w:drawing>
          <wp:inline xmlns:a="http://schemas.openxmlformats.org/drawingml/2006/main" xmlns:pic="http://schemas.openxmlformats.org/drawingml/2006/picture">
            <wp:extent cx="5486400" cy="2714677"/>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#2.</w:t>
      </w:r>
    </w:p>
    <w:p>
      <w:pPr>
        <w:keepNext/>
        <w:widowControl/>
        <w:spacing w:after="60"/>
        <w:jc w:val="center"/>
      </w:pPr>
      <w:r>
        <w:drawing>
          <wp:inline xmlns:a="http://schemas.openxmlformats.org/drawingml/2006/main" xmlns:pic="http://schemas.openxmlformats.org/drawingml/2006/picture">
            <wp:extent cx="5486400" cy="2714677"/>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#3.</w:t>
      </w:r>
    </w:p>
    <w:p>
      <w:pPr>
        <w:keepNext/>
        <w:widowControl/>
        <w:spacing w:after="60"/>
        <w:jc w:val="center"/>
      </w:pPr>
      <w:r>
        <w:drawing>
          <wp:inline xmlns:a="http://schemas.openxmlformats.org/drawingml/2006/main" xmlns:pic="http://schemas.openxmlformats.org/drawingml/2006/picture">
            <wp:extent cx="5486400" cy="2714677"/>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#4.</w:t>
      </w:r>
    </w:p>
    <w:p>
      <w:pPr>
        <w:keepNext/>
        <w:widowControl/>
        <w:spacing w:after="60"/>
        <w:jc w:val="center"/>
      </w:pPr>
      <w:r>
        <w:drawing>
          <wp:inline xmlns:a="http://schemas.openxmlformats.org/drawingml/2006/main" xmlns:pic="http://schemas.openxmlformats.org/drawingml/2006/picture">
            <wp:extent cx="5486400" cy="2714677"/>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#5.</w:t>
      </w:r>
    </w:p>
    <w:p>
      <w:pPr>
        <w:keepNext/>
        <w:widowControl/>
        <w:spacing w:after="60"/>
        <w:jc w:val="center"/>
      </w:pPr>
      <w:r>
        <w:drawing>
          <wp:inline xmlns:a="http://schemas.openxmlformats.org/drawingml/2006/main" xmlns:pic="http://schemas.openxmlformats.org/drawingml/2006/picture">
            <wp:extent cx="5486400" cy="2714677"/>
            <wp:docPr id="6" name="Picture 6"/>
            <wp:cNvGraphicFramePr>
              <a:graphicFrameLocks noChangeAspect="1"/>
            </wp:cNvGraphicFramePr>
            <a:graphic>
              <a:graphicData uri="http://schemas.openxmlformats.org/drawingml/2006/picture">
                <pic:pic>
                  <pic:nvPicPr>
                    <pic:cNvPr id="0" name="08_area_Viernes.png"/>
                    <pic:cNvPicPr/>
                  </pic:nvPicPr>
                  <pic:blipFill>
                    <a:blip r:embed="rId32"/>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#6.</w:t>
      </w:r>
    </w:p>
    <w:p>
      <w:pPr>
        <w:keepNext/>
        <w:widowControl/>
        <w:spacing w:after="60"/>
        <w:jc w:val="center"/>
      </w:pPr>
      <w:r>
        <w:drawing>
          <wp:inline xmlns:a="http://schemas.openxmlformats.org/drawingml/2006/main" xmlns:pic="http://schemas.openxmlformats.org/drawingml/2006/picture">
            <wp:extent cx="5486400" cy="2714677"/>
            <wp:docPr id="7" name="Picture 7"/>
            <wp:cNvGraphicFramePr>
              <a:graphicFrameLocks noChangeAspect="1"/>
            </wp:cNvGraphicFramePr>
            <a:graphic>
              <a:graphicData uri="http://schemas.openxmlformats.org/drawingml/2006/picture">
                <pic:pic>
                  <pic:nvPicPr>
                    <pic:cNvPr id="0" name="09_area_Sabado.png"/>
                    <pic:cNvPicPr/>
                  </pic:nvPicPr>
                  <pic:blipFill>
                    <a:blip r:embed="rId33"/>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#7.</w:t>
      </w:r>
    </w:p>
    <w:p>
      <w:pPr>
        <w:keepNext/>
        <w:widowControl/>
        <w:spacing w:after="60"/>
        <w:jc w:val="center"/>
      </w:pPr>
      <w:r>
        <w:drawing>
          <wp:inline xmlns:a="http://schemas.openxmlformats.org/drawingml/2006/main" xmlns:pic="http://schemas.openxmlformats.org/drawingml/2006/picture">
            <wp:extent cx="5486400" cy="2714677"/>
            <wp:docPr id="8" name="Picture 8"/>
            <wp:cNvGraphicFramePr>
              <a:graphicFrameLocks noChangeAspect="1"/>
            </wp:cNvGraphicFramePr>
            <a:graphic>
              <a:graphicData uri="http://schemas.openxmlformats.org/drawingml/2006/picture">
                <pic:pic>
                  <pic:nvPicPr>
                    <pic:cNvPr id="0" name="10_area_Domingo.png"/>
                    <pic:cNvPicPr/>
                  </pic:nvPicPr>
                  <pic:blipFill>
                    <a:blip r:embed="rId34"/>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#8.</w:t>
      </w:r>
    </w:p>
    <w:p>
      <w:pPr>
        <w:keepNext/>
        <w:widowControl/>
        <w:spacing w:after="60"/>
        <w:jc w:val="center"/>
      </w:pPr>
      <w:r>
        <w:drawing>
          <wp:inline xmlns:a="http://schemas.openxmlformats.org/drawingml/2006/main" xmlns:pic="http://schemas.openxmlformats.org/drawingml/2006/picture">
            <wp:extent cx="5486400" cy="2711322"/>
            <wp:docPr id="9" name="Picture 9"/>
            <wp:cNvGraphicFramePr>
              <a:graphicFrameLocks noChangeAspect="1"/>
            </wp:cNvGraphicFramePr>
            <a:graphic>
              <a:graphicData uri="http://schemas.openxmlformats.org/drawingml/2006/picture">
                <pic:pic>
                  <pic:nvPicPr>
                    <pic:cNvPr id="0" name="03_area_promedio_24h.png"/>
                    <pic:cNvPicPr/>
                  </pic:nvPicPr>
                  <pic:blipFill>
                    <a:blip r:embed="rId35"/>
                    <a:stretch>
                      <a:fillRect/>
                    </a:stretch>
                  </pic:blipFill>
                  <pic:spPr>
                    <a:xfrm>
                      <a:off x="0" y="0"/>
                      <a:ext cx="5486400" cy="2711322"/>
                    </a:xfrm>
                    <a:prstGeom prst="rect"/>
                  </pic:spPr>
                </pic:pic>
              </a:graphicData>
            </a:graphic>
          </wp:inline>
        </w:drawing>
      </w:r>
    </w:p>
    <w:p>
      <w:pPr>
        <w:spacing w:after="160"/>
      </w:pP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(23 al 29 marzo 2026)</w:t>
            </w:r>
          </w:p>
        </w:tc>
        <w:tc>
          <w:tcPr>
            <w:tcW w:type="dxa" w:w="4725"/>
          </w:tcPr>
          <w:p>
            <w:pPr>
              <w:jc w:val="left"/>
            </w:pPr>
            <w:r>
              <w:rPr>
                <w:b w:val="0"/>
                <w:color w:val="000000"/>
              </w:rPr>
              <w:t>28.87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48.56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19.69 m3/dia</w:t>
            </w:r>
          </w:p>
        </w:tc>
      </w:tr>
      <w:tr>
        <w:tc>
          <w:tcPr>
            <w:tcW w:type="dxa" w:w="4725"/>
          </w:tcPr>
          <w:p>
            <w:pPr>
              <w:jc w:val="left"/>
            </w:pPr>
            <w:r>
              <w:rPr>
                <w:b/>
                <w:color w:val="000000"/>
              </w:rPr>
              <w:t>Ahorro porcentual</w:t>
            </w:r>
          </w:p>
        </w:tc>
        <w:tc>
          <w:tcPr>
            <w:tcW w:type="dxa" w:w="4725"/>
          </w:tcPr>
          <w:p>
            <w:pPr>
              <w:jc w:val="left"/>
            </w:pPr>
            <w:r>
              <w:rPr>
                <w:b w:val="0"/>
                <w:color w:val="000000"/>
              </w:rPr>
              <w:t>40.54%</w:t>
            </w:r>
          </w:p>
        </w:tc>
      </w:tr>
      <w:tr>
        <w:tc>
          <w:tcPr>
            <w:tcW w:type="dxa" w:w="4725"/>
          </w:tcPr>
          <w:p>
            <w:pPr>
              <w:jc w:val="left"/>
            </w:pPr>
            <w:r>
              <w:rPr>
                <w:b/>
                <w:color w:val="000000"/>
              </w:rPr>
              <w:t>Diferencia neta (desactivado - activo)</w:t>
            </w:r>
          </w:p>
        </w:tc>
        <w:tc>
          <w:tcPr>
            <w:tcW w:type="dxa" w:w="4725"/>
          </w:tcPr>
          <w:p>
            <w:pPr>
              <w:jc w:val="left"/>
            </w:pPr>
            <w:r>
              <w:rPr>
                <w:b w:val="0"/>
                <w:color w:val="000000"/>
              </w:rPr>
              <w:t>19.69 m3/dia</w:t>
            </w:r>
          </w:p>
        </w:tc>
      </w:tr>
    </w:tbl>
    <w:p>
      <w:pPr>
        <w:spacing w:after="160"/>
      </w:pPr>
    </w:p>
    <w:p>
      <w:pPr>
        <w:keepNext w:val="0"/>
        <w:widowControl/>
        <w:jc w:val="both"/>
      </w:pPr>
      <w:r>
        <w:t>En la rejilla analizada (7 días, 00:00–24:00), Con WES 202,1 m³ y Sin WES 339,9 m³; volumen evitado respecto de Sin WES: 137,8 m³ (~165.360 CLP a 1.200 CLP/m³, orientativo). Cuadros y gráficos: Registros de consumos.</w:t>
      </w:r>
    </w:p>
    <w:p/>
    <w:p>
      <w:pPr>
        <w:jc w:val="center"/>
      </w:pPr>
      <w:r>
        <w:rPr>
          <w:sz w:val="22"/>
        </w:rPr>
        <w:t xml:space="preserve">Ahorro sobre Sin WES: </w:t>
      </w:r>
      <w:r>
        <w:rPr>
          <w:b/>
          <w:sz w:val="28"/>
        </w:rPr>
        <w:t>40,54 %</w:t>
      </w:r>
    </w:p>
    <w:p/>
    <w:p>
      <w:pPr>
        <w:jc w:val="center"/>
      </w:pPr>
      <w:r>
        <w:rPr>
          <w:color w:val="646464"/>
          <w:sz w:val="18"/>
        </w:rPr>
        <w:t>Documento generado automáticamente — 16-04-2026 20:59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