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Reporte agregado — 5 auditorías Renca (abril 2026)</w:t>
      </w:r>
    </w:p>
    <w:p>
      <w:r>
        <w:t>Se consolidan los totales de la hoja «Consolidado» de cada auditoría (suma de m³/h en la rejilla del Excel). Los nombres de establecimiento provienen de la API WES. Periodo con control WES: 23–29 marzo 2026. Periodo de referencia (sin WES): 6–12 abril 2026.</w:t>
      </w:r>
    </w:p>
    <w:p/>
    <w:p>
      <w:r>
        <w:rPr>
          <w:b/>
        </w:rPr>
        <w:t xml:space="preserve">Fecha de generación: </w:t>
      </w:r>
      <w:r>
        <w:t>16-04-2026 23:03</w:t>
      </w:r>
    </w:p>
    <w:p>
      <w:pPr>
        <w:pStyle w:val="Heading1"/>
      </w:pPr>
      <w:r>
        <w:t>Totales y % rendimiento (ahorro vs semana referencia)</w:t>
      </w:r>
    </w:p>
    <w:p>
      <w:r>
        <w:t>% rendimiento = (Semana sin WES − Semana con WES) / Semana sin WES × 100. Valor positivo: menor volumen en la semana con control WES respecto a la semana de referencia.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Nodo</w:t>
            </w:r>
          </w:p>
        </w:tc>
        <w:tc>
          <w:tcPr>
            <w:tcW w:type="dxa" w:w="1728"/>
          </w:tcPr>
          <w:p>
            <w:r>
              <w:t>Establecimiento (app)</w:t>
            </w:r>
          </w:p>
        </w:tc>
        <w:tc>
          <w:tcPr>
            <w:tcW w:type="dxa" w:w="1728"/>
          </w:tcPr>
          <w:p>
            <w:r>
              <w:t>Semana Con WES (m³)</w:t>
            </w:r>
          </w:p>
        </w:tc>
        <w:tc>
          <w:tcPr>
            <w:tcW w:type="dxa" w:w="1728"/>
          </w:tcPr>
          <w:p>
            <w:r>
              <w:t>Semana Sin WES ref. (m³)</w:t>
            </w:r>
          </w:p>
        </w:tc>
        <w:tc>
          <w:tcPr>
            <w:tcW w:type="dxa" w:w="1728"/>
          </w:tcPr>
          <w:p>
            <w:r>
              <w:t>% rendimiento</w:t>
            </w:r>
          </w:p>
        </w:tc>
      </w:tr>
      <w:tr>
        <w:tc>
          <w:tcPr>
            <w:tcW w:type="dxa" w:w="1728"/>
          </w:tcPr>
          <w:p>
            <w:r>
              <w:t>000017-08</w:t>
            </w:r>
          </w:p>
        </w:tc>
        <w:tc>
          <w:tcPr>
            <w:tcW w:type="dxa" w:w="1728"/>
          </w:tcPr>
          <w:p>
            <w:r>
              <w:t>Colegio ICCO Renca</w:t>
            </w:r>
          </w:p>
        </w:tc>
        <w:tc>
          <w:tcPr>
            <w:tcW w:type="dxa" w:w="1728"/>
          </w:tcPr>
          <w:p>
            <w:r>
              <w:t>202.10</w:t>
            </w:r>
          </w:p>
        </w:tc>
        <w:tc>
          <w:tcPr>
            <w:tcW w:type="dxa" w:w="1728"/>
          </w:tcPr>
          <w:p>
            <w:r>
              <w:t>347.50</w:t>
            </w:r>
          </w:p>
        </w:tc>
        <w:tc>
          <w:tcPr>
            <w:tcW w:type="dxa" w:w="1728"/>
          </w:tcPr>
          <w:p>
            <w:r>
              <w:t>41.8 %</w:t>
            </w:r>
          </w:p>
        </w:tc>
      </w:tr>
      <w:tr>
        <w:tc>
          <w:tcPr>
            <w:tcW w:type="dxa" w:w="1728"/>
          </w:tcPr>
          <w:p>
            <w:r>
              <w:t>000017-04</w:t>
            </w:r>
          </w:p>
        </w:tc>
        <w:tc>
          <w:tcPr>
            <w:tcW w:type="dxa" w:w="1728"/>
          </w:tcPr>
          <w:p>
            <w:r>
              <w:t>Esc. Lo Velásquez</w:t>
            </w:r>
          </w:p>
        </w:tc>
        <w:tc>
          <w:tcPr>
            <w:tcW w:type="dxa" w:w="1728"/>
          </w:tcPr>
          <w:p>
            <w:r>
              <w:t>31.95</w:t>
            </w:r>
          </w:p>
        </w:tc>
        <w:tc>
          <w:tcPr>
            <w:tcW w:type="dxa" w:w="1728"/>
          </w:tcPr>
          <w:p>
            <w:r>
              <w:t>36.70</w:t>
            </w:r>
          </w:p>
        </w:tc>
        <w:tc>
          <w:tcPr>
            <w:tcW w:type="dxa" w:w="1728"/>
          </w:tcPr>
          <w:p>
            <w:r>
              <w:t>12.9 %</w:t>
            </w:r>
          </w:p>
        </w:tc>
      </w:tr>
      <w:tr>
        <w:tc>
          <w:tcPr>
            <w:tcW w:type="dxa" w:w="1728"/>
          </w:tcPr>
          <w:p>
            <w:r>
              <w:t>000017-06</w:t>
            </w:r>
          </w:p>
        </w:tc>
        <w:tc>
          <w:tcPr>
            <w:tcW w:type="dxa" w:w="1728"/>
          </w:tcPr>
          <w:p>
            <w:r>
              <w:t>Piscina Municipal</w:t>
            </w:r>
          </w:p>
        </w:tc>
        <w:tc>
          <w:tcPr>
            <w:tcW w:type="dxa" w:w="1728"/>
          </w:tcPr>
          <w:p>
            <w:r>
              <w:t>339.74</w:t>
            </w:r>
          </w:p>
        </w:tc>
        <w:tc>
          <w:tcPr>
            <w:tcW w:type="dxa" w:w="1728"/>
          </w:tcPr>
          <w:p>
            <w:r>
              <w:t>686.84</w:t>
            </w:r>
          </w:p>
        </w:tc>
        <w:tc>
          <w:tcPr>
            <w:tcW w:type="dxa" w:w="1728"/>
          </w:tcPr>
          <w:p>
            <w:r>
              <w:t>50.5 %</w:t>
            </w:r>
          </w:p>
        </w:tc>
      </w:tr>
      <w:tr>
        <w:tc>
          <w:tcPr>
            <w:tcW w:type="dxa" w:w="1728"/>
          </w:tcPr>
          <w:p>
            <w:r>
              <w:t>000017-05</w:t>
            </w:r>
          </w:p>
        </w:tc>
        <w:tc>
          <w:tcPr>
            <w:tcW w:type="dxa" w:w="1728"/>
          </w:tcPr>
          <w:p>
            <w:r>
              <w:t>Gimnasio</w:t>
            </w:r>
          </w:p>
        </w:tc>
        <w:tc>
          <w:tcPr>
            <w:tcW w:type="dxa" w:w="1728"/>
          </w:tcPr>
          <w:p>
            <w:r>
              <w:t>477.06</w:t>
            </w:r>
          </w:p>
        </w:tc>
        <w:tc>
          <w:tcPr>
            <w:tcW w:type="dxa" w:w="1728"/>
          </w:tcPr>
          <w:p>
            <w:r>
              <w:t>470.18</w:t>
            </w:r>
          </w:p>
        </w:tc>
        <w:tc>
          <w:tcPr>
            <w:tcW w:type="dxa" w:w="1728"/>
          </w:tcPr>
          <w:p>
            <w:r>
              <w:t>-1.5 %</w:t>
            </w:r>
          </w:p>
        </w:tc>
      </w:tr>
      <w:tr>
        <w:tc>
          <w:tcPr>
            <w:tcW w:type="dxa" w:w="1728"/>
          </w:tcPr>
          <w:p>
            <w:r>
              <w:t>000017-07</w:t>
            </w:r>
          </w:p>
        </w:tc>
        <w:tc>
          <w:tcPr>
            <w:tcW w:type="dxa" w:w="1728"/>
          </w:tcPr>
          <w:p>
            <w:r>
              <w:t>Cumbre de cóndores pte.</w:t>
            </w:r>
          </w:p>
        </w:tc>
        <w:tc>
          <w:tcPr>
            <w:tcW w:type="dxa" w:w="1728"/>
          </w:tcPr>
          <w:p>
            <w:r>
              <w:t>59.30</w:t>
            </w:r>
          </w:p>
        </w:tc>
        <w:tc>
          <w:tcPr>
            <w:tcW w:type="dxa" w:w="1728"/>
          </w:tcPr>
          <w:p>
            <w:r>
              <w:t>54.30</w:t>
            </w:r>
          </w:p>
        </w:tc>
        <w:tc>
          <w:tcPr>
            <w:tcW w:type="dxa" w:w="1728"/>
          </w:tcPr>
          <w:p>
            <w:r>
              <w:t>-9.2 %</w:t>
            </w:r>
          </w:p>
        </w:tc>
      </w:tr>
    </w:tbl>
    <w:p>
      <w:pPr>
        <w:pStyle w:val="Heading1"/>
      </w:pPr>
      <w:r>
        <w:t>Pareto — semana con control WES (23–29 marzo 2026)</w:t>
      </w:r>
    </w:p>
    <w:p>
      <w:r>
        <w:drawing>
          <wp:inline xmlns:a="http://schemas.openxmlformats.org/drawingml/2006/main" xmlns:pic="http://schemas.openxmlformats.org/drawingml/2006/picture">
            <wp:extent cx="5760000" cy="31092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eto_semana_CON_WES_23_29_mar_202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092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Pareto — semana de referencia sin WES (6–12 abril 2026)</w:t>
      </w:r>
    </w:p>
    <w:p>
      <w:r>
        <w:drawing>
          <wp:inline xmlns:a="http://schemas.openxmlformats.org/drawingml/2006/main" xmlns:pic="http://schemas.openxmlformats.org/drawingml/2006/picture">
            <wp:extent cx="5760000" cy="310922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eto_semana_SIN_WES_06_12_abr_202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092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Gráfico comparativo #8 por establecimiento (día homólogo, área + líneas)</w:t>
      </w:r>
    </w:p>
    <w:p>
      <w:r>
        <w:t>Corresponde al archivo ``08_area_&lt;día&gt;.png`` generado en cada carpeta ``graficos_comparativos/`` (mismo orden que en la auditoría individual).</w:t>
      </w:r>
    </w:p>
    <w:p>
      <w:pPr>
        <w:pStyle w:val="Heading2"/>
      </w:pPr>
      <w:r>
        <w:t>Colegio ICCO Renca (000017-08)</w:t>
      </w:r>
    </w:p>
    <w:p>
      <w:r>
        <w:drawing>
          <wp:inline xmlns:a="http://schemas.openxmlformats.org/drawingml/2006/main" xmlns:pic="http://schemas.openxmlformats.org/drawingml/2006/picture">
            <wp:extent cx="5400000" cy="267192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ativo08_000017_08_08_area_Viern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719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Esc. Lo Velásquez (000017-04)</w:t>
      </w:r>
    </w:p>
    <w:p>
      <w:r>
        <w:drawing>
          <wp:inline xmlns:a="http://schemas.openxmlformats.org/drawingml/2006/main" xmlns:pic="http://schemas.openxmlformats.org/drawingml/2006/picture">
            <wp:extent cx="5400000" cy="267192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ativo08_000017_04_08_area_Viern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719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Piscina Municipal (000017-06)</w:t>
      </w:r>
    </w:p>
    <w:p>
      <w:r>
        <w:drawing>
          <wp:inline xmlns:a="http://schemas.openxmlformats.org/drawingml/2006/main" xmlns:pic="http://schemas.openxmlformats.org/drawingml/2006/picture">
            <wp:extent cx="5400000" cy="267192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ativo08_000017_06_08_area_Viern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719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Gimnasio (000017-05)</w:t>
      </w:r>
    </w:p>
    <w:p>
      <w:r>
        <w:drawing>
          <wp:inline xmlns:a="http://schemas.openxmlformats.org/drawingml/2006/main" xmlns:pic="http://schemas.openxmlformats.org/drawingml/2006/picture">
            <wp:extent cx="5400000" cy="267192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ativo08_000017_05_08_area_Viern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719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Cumbre de cóndores pte. (000017-07)</w:t>
      </w:r>
    </w:p>
    <w:p>
      <w:r>
        <w:drawing>
          <wp:inline xmlns:a="http://schemas.openxmlformats.org/drawingml/2006/main" xmlns:pic="http://schemas.openxmlformats.org/drawingml/2006/picture">
            <wp:extent cx="5400000" cy="267192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ativo08_000017_07_08_area_Viern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719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t>Pareto: barras por consumo semanal; curva roja = % acumulado (línea de referencia 80 %).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