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agregado — 5 auditorías Renca (abril 2026)</w:t>
      </w:r>
    </w:p>
    <w:p>
      <w:r>
        <w:t>Se consolidan los totales de la hoja «Consolidado» de cada auditoría (suma de m³/h en la rejilla del Excel). Los nombres de establecimiento provienen de la API WES. Periodo con control WES: 13–19 abril 2026. Periodo de referencia (sin WES): 6–12 abril 2026.</w:t>
      </w:r>
    </w:p>
    <w:p/>
    <w:p>
      <w:r>
        <w:rPr>
          <w:b/>
        </w:rPr>
        <w:t xml:space="preserve">Fecha de generación: </w:t>
      </w:r>
      <w:r>
        <w:t>23-04-2026 15:55</w:t>
      </w:r>
    </w:p>
    <w:p>
      <w:pPr>
        <w:pStyle w:val="Heading1"/>
      </w:pPr>
      <w:r>
        <w:t>Totales y % rendimiento (ahorro vs semana referencia)</w:t>
      </w:r>
    </w:p>
    <w:p>
      <w:r>
        <w:t>% rendimiento = (Semana sin WES − Semana con WES) / Semana sin WES × 100. Valor positivo: menor volumen en la semana con control WES respecto a la semana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Nodo</w:t>
            </w:r>
          </w:p>
        </w:tc>
        <w:tc>
          <w:tcPr>
            <w:tcW w:type="dxa" w:w="1728"/>
          </w:tcPr>
          <w:p>
            <w:r>
              <w:t>Establecimiento (app)</w:t>
            </w:r>
          </w:p>
        </w:tc>
        <w:tc>
          <w:tcPr>
            <w:tcW w:type="dxa" w:w="1728"/>
          </w:tcPr>
          <w:p>
            <w:r>
              <w:t>Semana Con WES (m³)</w:t>
            </w:r>
          </w:p>
        </w:tc>
        <w:tc>
          <w:tcPr>
            <w:tcW w:type="dxa" w:w="1728"/>
          </w:tcPr>
          <w:p>
            <w:r>
              <w:t>Semana Sin WES ref. (m³)</w:t>
            </w:r>
          </w:p>
        </w:tc>
        <w:tc>
          <w:tcPr>
            <w:tcW w:type="dxa" w:w="1728"/>
          </w:tcPr>
          <w:p>
            <w:r>
              <w:t>% rendimiento</w:t>
            </w:r>
          </w:p>
        </w:tc>
      </w:tr>
      <w:tr>
        <w:tc>
          <w:tcPr>
            <w:tcW w:type="dxa" w:w="1728"/>
          </w:tcPr>
          <w:p>
            <w:r>
              <w:t>000017-08</w:t>
            </w:r>
          </w:p>
        </w:tc>
        <w:tc>
          <w:tcPr>
            <w:tcW w:type="dxa" w:w="1728"/>
          </w:tcPr>
          <w:p>
            <w:r>
              <w:t>Colegio ICCO Renca</w:t>
            </w:r>
          </w:p>
        </w:tc>
        <w:tc>
          <w:tcPr>
            <w:tcW w:type="dxa" w:w="1728"/>
          </w:tcPr>
          <w:p>
            <w:r>
              <w:t>214.80</w:t>
            </w:r>
          </w:p>
        </w:tc>
        <w:tc>
          <w:tcPr>
            <w:tcW w:type="dxa" w:w="1728"/>
          </w:tcPr>
          <w:p>
            <w:r>
              <w:t>341.80</w:t>
            </w:r>
          </w:p>
        </w:tc>
        <w:tc>
          <w:tcPr>
            <w:tcW w:type="dxa" w:w="1728"/>
          </w:tcPr>
          <w:p>
            <w:r>
              <w:t>37.2 %</w:t>
            </w:r>
          </w:p>
        </w:tc>
      </w:tr>
      <w:tr>
        <w:tc>
          <w:tcPr>
            <w:tcW w:type="dxa" w:w="1728"/>
          </w:tcPr>
          <w:p>
            <w:r>
              <w:t>000017-04</w:t>
            </w:r>
          </w:p>
        </w:tc>
        <w:tc>
          <w:tcPr>
            <w:tcW w:type="dxa" w:w="1728"/>
          </w:tcPr>
          <w:p>
            <w:r>
              <w:t>Esc. Lo Velásquez</w:t>
            </w:r>
          </w:p>
        </w:tc>
        <w:tc>
          <w:tcPr>
            <w:tcW w:type="dxa" w:w="1728"/>
          </w:tcPr>
          <w:p>
            <w:r>
              <w:t>33.00</w:t>
            </w:r>
          </w:p>
        </w:tc>
        <w:tc>
          <w:tcPr>
            <w:tcW w:type="dxa" w:w="1728"/>
          </w:tcPr>
          <w:p>
            <w:r>
              <w:t>36.70</w:t>
            </w:r>
          </w:p>
        </w:tc>
        <w:tc>
          <w:tcPr>
            <w:tcW w:type="dxa" w:w="1728"/>
          </w:tcPr>
          <w:p>
            <w:r>
              <w:t>10.1 %</w:t>
            </w:r>
          </w:p>
        </w:tc>
      </w:tr>
      <w:tr>
        <w:tc>
          <w:tcPr>
            <w:tcW w:type="dxa" w:w="1728"/>
          </w:tcPr>
          <w:p>
            <w:r>
              <w:t>000017-06</w:t>
            </w:r>
          </w:p>
        </w:tc>
        <w:tc>
          <w:tcPr>
            <w:tcW w:type="dxa" w:w="1728"/>
          </w:tcPr>
          <w:p>
            <w:r>
              <w:t>Piscina Municipal</w:t>
            </w:r>
          </w:p>
        </w:tc>
        <w:tc>
          <w:tcPr>
            <w:tcW w:type="dxa" w:w="1728"/>
          </w:tcPr>
          <w:p>
            <w:r>
              <w:t>297.80</w:t>
            </w:r>
          </w:p>
        </w:tc>
        <w:tc>
          <w:tcPr>
            <w:tcW w:type="dxa" w:w="1728"/>
          </w:tcPr>
          <w:p>
            <w:r>
              <w:t>698.74</w:t>
            </w:r>
          </w:p>
        </w:tc>
        <w:tc>
          <w:tcPr>
            <w:tcW w:type="dxa" w:w="1728"/>
          </w:tcPr>
          <w:p>
            <w:r>
              <w:t>57.4 %</w:t>
            </w:r>
          </w:p>
        </w:tc>
      </w:tr>
      <w:tr>
        <w:tc>
          <w:tcPr>
            <w:tcW w:type="dxa" w:w="1728"/>
          </w:tcPr>
          <w:p>
            <w:r>
              <w:t>000017-05</w:t>
            </w:r>
          </w:p>
        </w:tc>
        <w:tc>
          <w:tcPr>
            <w:tcW w:type="dxa" w:w="1728"/>
          </w:tcPr>
          <w:p>
            <w:r>
              <w:t>Gimnasio</w:t>
            </w:r>
          </w:p>
        </w:tc>
        <w:tc>
          <w:tcPr>
            <w:tcW w:type="dxa" w:w="1728"/>
          </w:tcPr>
          <w:p>
            <w:r>
              <w:t>3019.54</w:t>
            </w:r>
          </w:p>
        </w:tc>
        <w:tc>
          <w:tcPr>
            <w:tcW w:type="dxa" w:w="1728"/>
          </w:tcPr>
          <w:p>
            <w:r>
              <w:t>470.18</w:t>
            </w:r>
          </w:p>
        </w:tc>
        <w:tc>
          <w:tcPr>
            <w:tcW w:type="dxa" w:w="1728"/>
          </w:tcPr>
          <w:p>
            <w:r>
              <w:t>-542.2 %</w:t>
            </w:r>
          </w:p>
        </w:tc>
      </w:tr>
      <w:tr>
        <w:tc>
          <w:tcPr>
            <w:tcW w:type="dxa" w:w="1728"/>
          </w:tcPr>
          <w:p>
            <w:r>
              <w:t>000017-07</w:t>
            </w:r>
          </w:p>
        </w:tc>
        <w:tc>
          <w:tcPr>
            <w:tcW w:type="dxa" w:w="1728"/>
          </w:tcPr>
          <w:p>
            <w:r>
              <w:t>Cumbre de cóndores pte.</w:t>
            </w:r>
          </w:p>
        </w:tc>
        <w:tc>
          <w:tcPr>
            <w:tcW w:type="dxa" w:w="1728"/>
          </w:tcPr>
          <w:p>
            <w:r>
              <w:t>48.40</w:t>
            </w:r>
          </w:p>
        </w:tc>
        <w:tc>
          <w:tcPr>
            <w:tcW w:type="dxa" w:w="1728"/>
          </w:tcPr>
          <w:p>
            <w:r>
              <w:t>51.60</w:t>
            </w:r>
          </w:p>
        </w:tc>
        <w:tc>
          <w:tcPr>
            <w:tcW w:type="dxa" w:w="1728"/>
          </w:tcPr>
          <w:p>
            <w:r>
              <w:t>6.2 %</w:t>
            </w:r>
          </w:p>
        </w:tc>
      </w:tr>
    </w:tbl>
    <w:p>
      <w:pPr>
        <w:pStyle w:val="Heading1"/>
      </w:pPr>
      <w:r>
        <w:t>Pareto — semana con control WES (13–19 abril 2026)</w:t>
      </w:r>
    </w:p>
    <w:p>
      <w:r>
        <w:drawing>
          <wp:inline xmlns:a="http://schemas.openxmlformats.org/drawingml/2006/main" xmlns:pic="http://schemas.openxmlformats.org/drawingml/2006/picture">
            <wp:extent cx="5760000" cy="310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emana_CON_WES_13_19_abr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Pareto — semana de referencia sin WES (6–12 abril 2026)</w:t>
      </w:r>
    </w:p>
    <w:p>
      <w:r>
        <w:drawing>
          <wp:inline xmlns:a="http://schemas.openxmlformats.org/drawingml/2006/main" xmlns:pic="http://schemas.openxmlformats.org/drawingml/2006/picture">
            <wp:extent cx="5760000" cy="3109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emana_SIN_WES_06_12_abr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Gráfico comparativo #8 por establecimiento (día homólogo, área + líneas)</w:t>
      </w:r>
    </w:p>
    <w:p>
      <w:r>
        <w:t>Corresponde al archivo ``08_area_&lt;día&gt;.png`` generado en cada carpeta ``graficos_comparativos/`` (mismo orden que en la auditoría individual).</w:t>
      </w:r>
    </w:p>
    <w:p>
      <w:pPr>
        <w:pStyle w:val="Heading2"/>
      </w:pPr>
      <w:r>
        <w:t>Colegio ICCO Renca (000017-08)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8_08_area_Vier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Esc. Lo Velásquez (000017-04)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4_08_area_Vier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Piscina Municipal (000017-06)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6_08_area_Vier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Gimnasio (000017-05)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5_08_area_Vier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Cumbre de cóndores pte. (000017-07)</w:t>
      </w:r>
    </w:p>
    <w:p>
      <w:r>
        <w:t>[No se encontró el gráfico #8 en C:\Users\aniba\OneDrive\Desktop\wes-scripts\reports\reporte de auditoria\auditoria_puntos_renca_abril_2026\Auditoria Cumbre de condores 000017-07 conWES13-17 sinWES06-10\graficos_comparativos]</w:t>
      </w:r>
    </w:p>
    <w:p>
      <w:pPr>
        <w:jc w:val="both"/>
      </w:pPr>
      <w:r>
        <w:t>Pareto: barras por consumo semanal; curva roja = % acumulado (línea de referencia 80 %).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