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Auditoría ICCO</w:t>
      </w:r>
    </w:p>
    <w:p>
      <w:pPr>
        <w:spacing w:before="40" w:after="160"/>
        <w:jc w:val="center"/>
      </w:pPr>
      <w:r>
        <w:rPr>
          <w:rFonts w:ascii="Calibri" w:hAnsi="Calibri"/>
          <w:i/>
          <w:color w:val="5A5A5A"/>
          <w:sz w:val="20"/>
        </w:rPr>
        <w:t>Borrador_auditoria_Cumbre_de_cóndores_Ote_000017-08_2026</w:t>
      </w:r>
    </w:p>
    <w:p>
      <w:pPr>
        <w:spacing w:after="80"/>
        <w:jc w:val="center"/>
      </w:pPr>
      <w:r>
        <w:rPr>
          <w:rFonts w:ascii="Calibri" w:hAnsi="Calibri"/>
          <w:b/>
          <w:color w:val="1F4788"/>
          <w:sz w:val="34"/>
        </w:rPr>
        <w:t>Cumbre de cóndores Ote.</w:t>
      </w:r>
      <w:r>
        <w:br/>
      </w:r>
      <w:r>
        <w:rPr>
          <w:rFonts w:ascii="Calibri" w:hAnsi="Calibri"/>
          <w:b/>
          <w:color w:val="1F4788"/>
          <w:sz w:val="34"/>
        </w:rPr>
        <w:t>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Cumbre de cóndores Ote., punto de medición WES 000017-08 (Cumbre de cóndores Ote.),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2621610"/>
            <wp:docPr id="1" name="Picture 1"/>
            <wp:cNvGraphicFramePr>
              <a:graphicFrameLocks noChangeAspect="1"/>
            </wp:cNvGraphicFramePr>
            <a:graphic>
              <a:graphicData uri="http://schemas.openxmlformats.org/drawingml/2006/picture">
                <pic:pic>
                  <pic:nvPicPr>
                    <pic:cNvPr id="0" name="cpa_icco_renca_barras_borrador_000017-08.png"/>
                    <pic:cNvPicPr/>
                  </pic:nvPicPr>
                  <pic:blipFill>
                    <a:blip r:embed="rId27"/>
                    <a:stretch>
                      <a:fillRect/>
                    </a:stretch>
                  </pic:blipFill>
                  <pic:spPr>
                    <a:xfrm>
                      <a:off x="0" y="0"/>
                      <a:ext cx="4754880" cy="2621610"/>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214,8</w:t>
            </w:r>
          </w:p>
        </w:tc>
        <w:tc>
          <w:tcPr>
            <w:tcW w:type="dxa" w:w="2362"/>
            <w:shd w:val="clear" w:fill="FFFFFF"/>
          </w:tcPr>
          <w:p>
            <w:pPr>
              <w:jc w:val="left"/>
            </w:pPr>
            <w:r>
              <w:rPr>
                <w:b w:val="0"/>
                <w:color w:val="000000"/>
              </w:rPr>
              <w:t>30,686</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341,8</w:t>
            </w:r>
          </w:p>
        </w:tc>
        <w:tc>
          <w:tcPr>
            <w:tcW w:type="dxa" w:w="2362"/>
            <w:shd w:val="clear" w:fill="FFFFFF"/>
          </w:tcPr>
          <w:p>
            <w:pPr>
              <w:jc w:val="left"/>
            </w:pPr>
            <w:r>
              <w:rPr>
                <w:b w:val="0"/>
                <w:color w:val="000000"/>
              </w:rPr>
              <w:t>48,829</w:t>
            </w:r>
          </w:p>
        </w:tc>
      </w:tr>
    </w:tbl>
    <w:p>
      <w:pPr>
        <w:spacing w:after="120"/>
      </w:pPr>
    </w:p>
    <w:p>
      <w:pPr>
        <w:keepNext w:val="0"/>
        <w:widowControl/>
        <w:jc w:val="both"/>
      </w:pPr>
      <w:r>
        <w:t>Métricas y serie horaria (jornada completa) exportadas: cpa_icco_renca_borrador_000017-08.csv.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(13-04-2026) vs sin control (06-04-2026): consumo diario aproximado (suma de las 24 horas en m³/h) Con WES 52,5 m³; Sin WES (línea base) 47,6 m³; diferencia (Con − Sin) 4,9 m³ (9,33 % respecto del día con WES).</w:t>
      </w:r>
    </w:p>
    <w:p>
      <w:pPr>
        <w:keepNext/>
        <w:widowControl/>
        <w:spacing w:after="60"/>
        <w:jc w:val="center"/>
      </w:pPr>
      <w:r>
        <w:drawing>
          <wp:inline xmlns:a="http://schemas.openxmlformats.org/drawingml/2006/main" xmlns:pic="http://schemas.openxmlformats.org/drawingml/2006/picture">
            <wp:extent cx="5486400" cy="2451853"/>
            <wp:docPr id="2" name="Picture 2"/>
            <wp:cNvGraphicFramePr>
              <a:graphicFrameLocks noChangeAspect="1"/>
            </wp:cNvGraphicFramePr>
            <a:graphic>
              <a:graphicData uri="http://schemas.openxmlformats.org/drawingml/2006/picture">
                <pic:pic>
                  <pic:nvPicPr>
                    <pic:cNvPr id="0" name="cpa_icco_renca_wes_24h_lunes_borrador_000017-08.png"/>
                    <pic:cNvPicPr/>
                  </pic:nvPicPr>
                  <pic:blipFill>
                    <a:blip r:embed="rId28"/>
                    <a:stretch>
                      <a:fillRect/>
                    </a:stretch>
                  </pic:blipFill>
                  <pic:spPr>
                    <a:xfrm>
                      <a:off x="0" y="0"/>
                      <a:ext cx="5486400" cy="2451853"/>
                    </a:xfrm>
                    <a:prstGeom prst="rect"/>
                  </pic:spPr>
                </pic:pic>
              </a:graphicData>
            </a:graphic>
          </wp:inline>
        </w:drawing>
      </w:r>
    </w:p>
    <w:p>
      <w:pPr>
        <w:spacing w:after="160"/>
      </w:pPr>
    </w:p>
    <w:p>
      <w:pPr>
        <w:keepNext/>
        <w:widowControl/>
        <w:jc w:val="both"/>
      </w:pPr>
      <w:r>
        <w:t>Martes — día homólogo con control (14-04-2026) vs sin control (07-04-2026): consumo diario aproximado (suma de las 24 horas en m³/h) Con WES 39,8 m³; Sin WES (línea base) 56,5 m³; diferencia (Con − Sin) -16,7 m³ (-41,96 % respecto del día con WES).</w:t>
      </w:r>
    </w:p>
    <w:p>
      <w:pPr>
        <w:keepNext/>
        <w:widowControl/>
        <w:spacing w:after="60"/>
        <w:jc w:val="center"/>
      </w:pPr>
      <w:r>
        <w:drawing>
          <wp:inline xmlns:a="http://schemas.openxmlformats.org/drawingml/2006/main" xmlns:pic="http://schemas.openxmlformats.org/drawingml/2006/picture">
            <wp:extent cx="5486400" cy="2451853"/>
            <wp:docPr id="3" name="Picture 3"/>
            <wp:cNvGraphicFramePr>
              <a:graphicFrameLocks noChangeAspect="1"/>
            </wp:cNvGraphicFramePr>
            <a:graphic>
              <a:graphicData uri="http://schemas.openxmlformats.org/drawingml/2006/picture">
                <pic:pic>
                  <pic:nvPicPr>
                    <pic:cNvPr id="0" name="cpa_icco_renca_wes_24h_martes_borrador_000017-08.png"/>
                    <pic:cNvPicPr/>
                  </pic:nvPicPr>
                  <pic:blipFill>
                    <a:blip r:embed="rId29"/>
                    <a:stretch>
                      <a:fillRect/>
                    </a:stretch>
                  </pic:blipFill>
                  <pic:spPr>
                    <a:xfrm>
                      <a:off x="0" y="0"/>
                      <a:ext cx="5486400" cy="2451853"/>
                    </a:xfrm>
                    <a:prstGeom prst="rect"/>
                  </pic:spPr>
                </pic:pic>
              </a:graphicData>
            </a:graphic>
          </wp:inline>
        </w:drawing>
      </w:r>
    </w:p>
    <w:p>
      <w:pPr>
        <w:spacing w:after="160"/>
      </w:pPr>
    </w:p>
    <w:p>
      <w:pPr>
        <w:keepNext/>
        <w:widowControl/>
        <w:jc w:val="both"/>
      </w:pPr>
      <w:r>
        <w:t>Miércoles — día homólogo con control (15-04-2026) vs sin control (08-04-2026): consumo diario aproximado (suma de las 24 horas en m³/h) Con WES 37,5 m³; Sin WES (línea base) 54,1 m³; diferencia (Con − Sin) -16,6 m³ (-44,27 % respecto del día con WES).</w:t>
      </w:r>
    </w:p>
    <w:p>
      <w:pPr>
        <w:keepNext/>
        <w:widowControl/>
        <w:spacing w:after="60"/>
        <w:jc w:val="center"/>
      </w:pPr>
      <w:r>
        <w:drawing>
          <wp:inline xmlns:a="http://schemas.openxmlformats.org/drawingml/2006/main" xmlns:pic="http://schemas.openxmlformats.org/drawingml/2006/picture">
            <wp:extent cx="5486400" cy="2451853"/>
            <wp:docPr id="4" name="Picture 4"/>
            <wp:cNvGraphicFramePr>
              <a:graphicFrameLocks noChangeAspect="1"/>
            </wp:cNvGraphicFramePr>
            <a:graphic>
              <a:graphicData uri="http://schemas.openxmlformats.org/drawingml/2006/picture">
                <pic:pic>
                  <pic:nvPicPr>
                    <pic:cNvPr id="0" name="cpa_icco_renca_wes_24h_miercoles_borrador_000017-08.png"/>
                    <pic:cNvPicPr/>
                  </pic:nvPicPr>
                  <pic:blipFill>
                    <a:blip r:embed="rId30"/>
                    <a:stretch>
                      <a:fillRect/>
                    </a:stretch>
                  </pic:blipFill>
                  <pic:spPr>
                    <a:xfrm>
                      <a:off x="0" y="0"/>
                      <a:ext cx="5486400" cy="2451853"/>
                    </a:xfrm>
                    <a:prstGeom prst="rect"/>
                  </pic:spPr>
                </pic:pic>
              </a:graphicData>
            </a:graphic>
          </wp:inline>
        </w:drawing>
      </w:r>
    </w:p>
    <w:p>
      <w:pPr>
        <w:spacing w:after="160"/>
      </w:pPr>
    </w:p>
    <w:p>
      <w:pPr>
        <w:keepNext/>
        <w:widowControl/>
        <w:jc w:val="both"/>
      </w:pPr>
      <w:r>
        <w:t>Jueves — día homólogo con control (16-04-2026) vs sin control (09-04-2026): consumo diario aproximado (suma de las 24 horas en m³/h) Con WES 36,5 m³; Sin WES (línea base) 56,2 m³; diferencia (Con − Sin) -19,7 m³ (-53,97 % respecto del día con WES).</w:t>
      </w:r>
    </w:p>
    <w:p>
      <w:pPr>
        <w:keepNext/>
        <w:widowControl/>
        <w:spacing w:after="60"/>
        <w:jc w:val="center"/>
      </w:pPr>
      <w:r>
        <w:drawing>
          <wp:inline xmlns:a="http://schemas.openxmlformats.org/drawingml/2006/main" xmlns:pic="http://schemas.openxmlformats.org/drawingml/2006/picture">
            <wp:extent cx="5486400" cy="2455637"/>
            <wp:docPr id="5" name="Picture 5"/>
            <wp:cNvGraphicFramePr>
              <a:graphicFrameLocks noChangeAspect="1"/>
            </wp:cNvGraphicFramePr>
            <a:graphic>
              <a:graphicData uri="http://schemas.openxmlformats.org/drawingml/2006/picture">
                <pic:pic>
                  <pic:nvPicPr>
                    <pic:cNvPr id="0" name="cpa_icco_renca_wes_24h_jueves_borrador_000017-08.png"/>
                    <pic:cNvPicPr/>
                  </pic:nvPicPr>
                  <pic:blipFill>
                    <a:blip r:embed="rId31"/>
                    <a:stretch>
                      <a:fillRect/>
                    </a:stretch>
                  </pic:blipFill>
                  <pic:spPr>
                    <a:xfrm>
                      <a:off x="0" y="0"/>
                      <a:ext cx="5486400" cy="2455637"/>
                    </a:xfrm>
                    <a:prstGeom prst="rect"/>
                  </pic:spPr>
                </pic:pic>
              </a:graphicData>
            </a:graphic>
          </wp:inline>
        </w:drawing>
      </w:r>
    </w:p>
    <w:p>
      <w:pPr>
        <w:spacing w:after="160"/>
      </w:pPr>
    </w:p>
    <w:p>
      <w:pPr>
        <w:keepNext/>
        <w:widowControl/>
        <w:jc w:val="both"/>
      </w:pPr>
      <w:r>
        <w:t>Viernes — día homólogo con control (17-04-2026) vs sin control (10-04-2026): consumo diario aproximado (suma de las 24 horas en m³/h) Con WES 33,3 m³; Sin WES (línea base) 50,6 m³; diferencia (Con − Sin) -17,3 m³ (-51,95 % respecto del día con WES).</w:t>
      </w:r>
    </w:p>
    <w:p>
      <w:pPr>
        <w:keepNext/>
        <w:widowControl/>
        <w:spacing w:after="60"/>
        <w:jc w:val="center"/>
      </w:pPr>
      <w:r>
        <w:drawing>
          <wp:inline xmlns:a="http://schemas.openxmlformats.org/drawingml/2006/main" xmlns:pic="http://schemas.openxmlformats.org/drawingml/2006/picture">
            <wp:extent cx="5486400" cy="2451853"/>
            <wp:docPr id="6" name="Picture 6"/>
            <wp:cNvGraphicFramePr>
              <a:graphicFrameLocks noChangeAspect="1"/>
            </wp:cNvGraphicFramePr>
            <a:graphic>
              <a:graphicData uri="http://schemas.openxmlformats.org/drawingml/2006/picture">
                <pic:pic>
                  <pic:nvPicPr>
                    <pic:cNvPr id="0" name="cpa_icco_renca_wes_24h_viernes_borrador_000017-08.png"/>
                    <pic:cNvPicPr/>
                  </pic:nvPicPr>
                  <pic:blipFill>
                    <a:blip r:embed="rId32"/>
                    <a:stretch>
                      <a:fillRect/>
                    </a:stretch>
                  </pic:blipFill>
                  <pic:spPr>
                    <a:xfrm>
                      <a:off x="0" y="0"/>
                      <a:ext cx="5486400" cy="2451853"/>
                    </a:xfrm>
                    <a:prstGeom prst="rect"/>
                  </pic:spPr>
                </pic:pic>
              </a:graphicData>
            </a:graphic>
          </wp:inline>
        </w:drawing>
      </w:r>
    </w:p>
    <w:p>
      <w:pPr>
        <w:spacing w:after="160"/>
      </w:pPr>
    </w:p>
    <w:p>
      <w:pPr>
        <w:keepNext/>
        <w:widowControl/>
        <w:jc w:val="both"/>
      </w:pPr>
      <w:r>
        <w:t>Sábado — día homólogo con control (18-04-2026) vs sin control (11-04-2026): consumo diario aproximado (suma de las 24 horas en m³/h) Con WES 15,2 m³; Sin WES (línea base) 38,7 m³; diferencia (Con − Sin) -23,5 m³ (-154,61 % respecto del día con WES).</w:t>
      </w:r>
    </w:p>
    <w:p>
      <w:pPr>
        <w:keepNext/>
        <w:widowControl/>
        <w:spacing w:after="60"/>
        <w:jc w:val="center"/>
      </w:pPr>
      <w:r>
        <w:drawing>
          <wp:inline xmlns:a="http://schemas.openxmlformats.org/drawingml/2006/main" xmlns:pic="http://schemas.openxmlformats.org/drawingml/2006/picture">
            <wp:extent cx="5486400" cy="2451853"/>
            <wp:docPr id="7" name="Picture 7"/>
            <wp:cNvGraphicFramePr>
              <a:graphicFrameLocks noChangeAspect="1"/>
            </wp:cNvGraphicFramePr>
            <a:graphic>
              <a:graphicData uri="http://schemas.openxmlformats.org/drawingml/2006/picture">
                <pic:pic>
                  <pic:nvPicPr>
                    <pic:cNvPr id="0" name="cpa_icco_renca_wes_24h_sabado_borrador_000017-08.png"/>
                    <pic:cNvPicPr/>
                  </pic:nvPicPr>
                  <pic:blipFill>
                    <a:blip r:embed="rId33"/>
                    <a:stretch>
                      <a:fillRect/>
                    </a:stretch>
                  </pic:blipFill>
                  <pic:spPr>
                    <a:xfrm>
                      <a:off x="0" y="0"/>
                      <a:ext cx="5486400" cy="2451853"/>
                    </a:xfrm>
                    <a:prstGeom prst="rect"/>
                  </pic:spPr>
                </pic:pic>
              </a:graphicData>
            </a:graphic>
          </wp:inline>
        </w:drawing>
      </w:r>
    </w:p>
    <w:p>
      <w:pPr>
        <w:spacing w:after="160"/>
      </w:pPr>
    </w:p>
    <w:p>
      <w:pPr>
        <w:keepNext/>
        <w:widowControl/>
        <w:jc w:val="both"/>
      </w:pPr>
      <w:r>
        <w:t>Domingo — día homólogo con control (19-04-2026) vs sin control (12-04-2026): consumo diario aproximado (suma de las 24 horas en m³/h) Con WES 0 m³; Sin WES (línea base) 38,1 m³; diferencia (Con − Sin) -38,1 m³ (0 % respecto del día con WES).</w:t>
      </w:r>
    </w:p>
    <w:p>
      <w:pPr>
        <w:keepNext/>
        <w:widowControl/>
        <w:spacing w:after="60"/>
        <w:jc w:val="center"/>
      </w:pPr>
      <w:r>
        <w:drawing>
          <wp:inline xmlns:a="http://schemas.openxmlformats.org/drawingml/2006/main" xmlns:pic="http://schemas.openxmlformats.org/drawingml/2006/picture">
            <wp:extent cx="5486400" cy="2455637"/>
            <wp:docPr id="8" name="Picture 8"/>
            <wp:cNvGraphicFramePr>
              <a:graphicFrameLocks noChangeAspect="1"/>
            </wp:cNvGraphicFramePr>
            <a:graphic>
              <a:graphicData uri="http://schemas.openxmlformats.org/drawingml/2006/picture">
                <pic:pic>
                  <pic:nvPicPr>
                    <pic:cNvPr id="0" name="cpa_icco_renca_wes_24h_domingo_borrador_000017-08.png"/>
                    <pic:cNvPicPr/>
                  </pic:nvPicPr>
                  <pic:blipFill>
                    <a:blip r:embed="rId34"/>
                    <a:stretch>
                      <a:fillRect/>
                    </a:stretch>
                  </pic:blipFill>
                  <pic:spPr>
                    <a:xfrm>
                      <a:off x="0" y="0"/>
                      <a:ext cx="5486400" cy="2455637"/>
                    </a:xfrm>
                    <a:prstGeom prst="rect"/>
                  </pic:spPr>
                </pic:pic>
              </a:graphicData>
            </a:graphic>
          </wp:inline>
        </w:drawing>
      </w:r>
    </w:p>
    <w:p>
      <w:pPr>
        <w:spacing w:after="160"/>
      </w:pPr>
    </w:p>
    <w:p>
      <w:pPr>
        <w:keepNext/>
        <w:widowControl/>
        <w:jc w:val="both"/>
      </w:pPr>
      <w:r>
        <w:t>Promedio horario de los 7 días homólogos (gráfico siguiente): Con WES 30,686 m³/día; Sin WES 48,829 m³/día; diferencia media -18,143 m³/día (-59,12 % sobre el promedio con WES).</w:t>
      </w:r>
    </w:p>
    <w:p>
      <w:pPr>
        <w:widowControl/>
        <w:spacing w:after="60"/>
        <w:jc w:val="center"/>
      </w:pPr>
      <w:r>
        <w:drawing>
          <wp:inline xmlns:a="http://schemas.openxmlformats.org/drawingml/2006/main" xmlns:pic="http://schemas.openxmlformats.org/drawingml/2006/picture">
            <wp:extent cx="5486400" cy="2459420"/>
            <wp:docPr id="9" name="Picture 9"/>
            <wp:cNvGraphicFramePr>
              <a:graphicFrameLocks noChangeAspect="1"/>
            </wp:cNvGraphicFramePr>
            <a:graphic>
              <a:graphicData uri="http://schemas.openxmlformats.org/drawingml/2006/picture">
                <pic:pic>
                  <pic:nvPicPr>
                    <pic:cNvPr id="0" name="cpa_icco_renca_wes_24h_promedio_borrador_000017-08.png"/>
                    <pic:cNvPicPr/>
                  </pic:nvPicPr>
                  <pic:blipFill>
                    <a:blip r:embed="rId35"/>
                    <a:stretch>
                      <a:fillRect/>
                    </a:stretch>
                  </pic:blipFill>
                  <pic:spPr>
                    <a:xfrm>
                      <a:off x="0" y="0"/>
                      <a:ext cx="5486400" cy="2459420"/>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30.69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48.83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18.14 m3/dia</w:t>
            </w:r>
          </w:p>
        </w:tc>
      </w:tr>
      <w:tr>
        <w:tc>
          <w:tcPr>
            <w:tcW w:type="dxa" w:w="4725"/>
          </w:tcPr>
          <w:p>
            <w:pPr>
              <w:jc w:val="left"/>
            </w:pPr>
            <w:r>
              <w:rPr>
                <w:b/>
                <w:color w:val="000000"/>
              </w:rPr>
              <w:t>Ahorro porcentual</w:t>
            </w:r>
          </w:p>
        </w:tc>
        <w:tc>
          <w:tcPr>
            <w:tcW w:type="dxa" w:w="4725"/>
          </w:tcPr>
          <w:p>
            <w:pPr>
              <w:jc w:val="left"/>
            </w:pPr>
            <w:r>
              <w:rPr>
                <w:b w:val="0"/>
                <w:color w:val="000000"/>
              </w:rPr>
              <w:t>37.16%</w:t>
            </w:r>
          </w:p>
        </w:tc>
      </w:tr>
      <w:tr>
        <w:tc>
          <w:tcPr>
            <w:tcW w:type="dxa" w:w="4725"/>
          </w:tcPr>
          <w:p>
            <w:pPr>
              <w:jc w:val="left"/>
            </w:pPr>
            <w:r>
              <w:rPr>
                <w:b/>
                <w:color w:val="000000"/>
              </w:rPr>
              <w:t>Diferencia neta (desactivado - activo)</w:t>
            </w:r>
          </w:p>
        </w:tc>
        <w:tc>
          <w:tcPr>
            <w:tcW w:type="dxa" w:w="4725"/>
          </w:tcPr>
          <w:p>
            <w:pPr>
              <w:jc w:val="left"/>
            </w:pPr>
            <w:r>
              <w:rPr>
                <w:b w:val="0"/>
                <w:color w:val="000000"/>
              </w:rPr>
              <w:t>18.14 m3/dia</w:t>
            </w:r>
          </w:p>
        </w:tc>
      </w:tr>
    </w:tbl>
    <w:p>
      <w:pPr>
        <w:spacing w:after="160"/>
      </w:pPr>
    </w:p>
    <w:p>
      <w:pPr>
        <w:keepNext w:val="0"/>
        <w:widowControl/>
        <w:jc w:val="both"/>
      </w:pPr>
      <w:r>
        <w:t>En la rejilla analizada (7 días, 00:00–24:00), Con WES 214,8 m³ y Sin WES 341,8 m³; volumen evitado respecto de Sin WES: 127 m³ (~152.400 CLP a 1.200 CLP/m³, orientativo). Cuadros y gráficos: Registros de consumos.</w:t>
      </w:r>
    </w:p>
    <w:p/>
    <w:p>
      <w:pPr>
        <w:jc w:val="center"/>
      </w:pPr>
      <w:r>
        <w:rPr>
          <w:sz w:val="22"/>
        </w:rPr>
        <w:t xml:space="preserve">Ahorro sobre Sin WES: </w:t>
      </w:r>
      <w:r>
        <w:rPr>
          <w:b/>
          <w:sz w:val="28"/>
        </w:rPr>
        <w:t>37,16 %</w:t>
      </w:r>
    </w:p>
    <w:p/>
    <w:p>
      <w:pPr>
        <w:jc w:val="center"/>
      </w:pPr>
      <w:r>
        <w:rPr>
          <w:color w:val="646464"/>
          <w:sz w:val="18"/>
        </w:rPr>
        <w:t>Documento generado automáticamente — 05-05-2026 15:37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