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spacing w:before="480" w:after="120"/>
        <w:jc w:val="center"/>
      </w:pPr>
      <w:r>
        <w:rPr>
          <w:rFonts w:ascii="Calibri" w:hAnsi="Calibri"/>
          <w:color w:val="404040"/>
          <w:sz w:val="22"/>
        </w:rPr>
        <w:t>Auditoría ICCO</w:t>
      </w:r>
    </w:p>
    <w:p>
      <w:pPr>
        <w:spacing w:before="40" w:after="160"/>
        <w:jc w:val="center"/>
      </w:pPr>
      <w:r>
        <w:rPr>
          <w:rFonts w:ascii="Calibri" w:hAnsi="Calibri"/>
          <w:i/>
          <w:color w:val="5A5A5A"/>
          <w:sz w:val="20"/>
        </w:rPr>
        <w:t>Borrador_auditoria_Cumbre_de_cóndores_pte_000017-07_2026</w:t>
      </w:r>
    </w:p>
    <w:p>
      <w:pPr>
        <w:spacing w:after="80"/>
        <w:jc w:val="center"/>
      </w:pPr>
      <w:r>
        <w:rPr>
          <w:rFonts w:ascii="Calibri" w:hAnsi="Calibri"/>
          <w:b/>
          <w:color w:val="1F4788"/>
          <w:sz w:val="34"/>
        </w:rPr>
        <w:t>Cumbre de cóndores pte.</w:t>
      </w:r>
      <w:r>
        <w:br/>
      </w:r>
      <w:r>
        <w:rPr>
          <w:rFonts w:ascii="Calibri" w:hAnsi="Calibri"/>
          <w:b/>
          <w:color w:val="1F4788"/>
          <w:sz w:val="34"/>
        </w:rPr>
        <w:t>Renca</w:t>
      </w:r>
    </w:p>
    <w:p/>
    <w:p/>
    <w:p>
      <w:pPr>
        <w:spacing w:after="40"/>
        <w:jc w:val="center"/>
      </w:pPr>
      <w:r>
        <w:rPr>
          <w:rFonts w:ascii="Calibri" w:hAnsi="Calibri"/>
          <w:b/>
          <w:color w:val="1F4788"/>
          <w:sz w:val="80"/>
        </w:rPr>
        <w:t>WES</w:t>
      </w:r>
    </w:p>
    <w:p>
      <w:pPr>
        <w:jc w:val="center"/>
      </w:pPr>
      <w:r>
        <w:rPr>
          <w:rFonts w:ascii="Calibri" w:hAnsi="Calibri"/>
          <w:b/>
          <w:color w:val="64788C"/>
          <w:sz w:val="20"/>
        </w:rPr>
        <w:t>USO EFICIENTE DE AGUA</w:t>
      </w:r>
    </w:p>
    <w:p/>
    <w:p/>
    <w:p/>
    <w:p/>
    <w:p/>
    <w:p/>
    <w:p/>
    <w:p/>
    <w:p/>
    <w:p/>
    <w:p>
      <w:pPr>
        <w:jc w:val="right"/>
      </w:pPr>
      <w:r>
        <w:rPr>
          <w:rFonts w:ascii="Calibri" w:hAnsi="Calibri"/>
          <w:b/>
          <w:color w:val="000000"/>
          <w:sz w:val="22"/>
        </w:rPr>
        <w:t>Aníbal Aranda Alvarado</w:t>
      </w:r>
    </w:p>
    <w:p>
      <w:pPr>
        <w:jc w:val="right"/>
      </w:pPr>
      <w:r>
        <w:rPr>
          <w:rFonts w:ascii="Calibri" w:hAnsi="Calibri"/>
          <w:b w:val="0"/>
          <w:color w:val="000000"/>
          <w:sz w:val="22"/>
        </w:rPr>
        <w:t>Jefe de mantenimiento y operación</w:t>
      </w:r>
    </w:p>
    <w:p>
      <w:pPr>
        <w:jc w:val="right"/>
      </w:pPr>
      <w:r>
        <w:rPr>
          <w:rFonts w:ascii="Calibri" w:hAnsi="Calibri"/>
          <w:b w:val="0"/>
          <w:color w:val="000000"/>
          <w:sz w:val="22"/>
        </w:rPr>
        <w:t>9-75595835</w:t>
      </w:r>
    </w:p>
    <w:p>
      <w:r>
        <w:br w:type="page"/>
      </w:r>
    </w:p>
    <w:p>
      <w:pPr>
        <w:pStyle w:val="Ttulo1"/>
        <w:keepNext/>
        <w:widowControl/>
        <w:spacing w:after="200"/>
      </w:pPr>
      <w:r>
        <w:rPr>
          <w:rFonts w:ascii="Calibri" w:hAnsi="Calibri"/>
          <w:b/>
          <w:color w:val="1F4788"/>
          <w:sz w:val="28"/>
        </w:rPr>
        <w:t>Índice</w:t>
      </w:r>
    </w:p>
    <w:p>
      <w:pPr>
        <w:widowControl/>
      </w:pPr>
      <w:r>
        <w:t>Metodología        .......................................... 2</w:t>
      </w:r>
    </w:p>
    <w:p>
      <w:pPr>
        <w:widowControl/>
      </w:pPr>
      <w:r>
        <w:t>Registros de consumos    .................................. 3</w:t>
      </w:r>
    </w:p>
    <w:p>
      <w:pPr>
        <w:keepNext/>
        <w:widowControl/>
      </w:pPr>
      <w:r>
        <w:t>Resultados y Conclusiones    ............................ 4</w:t>
      </w:r>
    </w:p>
    <w:p/>
    <w:p>
      <w:pPr>
        <w:pStyle w:val="Ttulo1"/>
        <w:keepNext/>
        <w:widowControl/>
        <w:spacing w:after="160"/>
      </w:pPr>
      <w:r>
        <w:rPr>
          <w:rFonts w:ascii="Calibri" w:hAnsi="Calibri"/>
          <w:b/>
          <w:color w:val="1F4788"/>
          <w:sz w:val="28"/>
        </w:rPr>
        <w:t>Metodología</w:t>
      </w:r>
    </w:p>
    <w:p>
      <w:pPr>
        <w:keepNext w:val="0"/>
        <w:widowControl/>
        <w:jc w:val="both"/>
      </w:pPr>
      <w:r>
        <w:t>Se generaron dos auditorías hídricas que permiten comprobar de forma empírica el efecto de ahorro asociado al servicio WES «Control Inteligente de Agua Potable» en las redes del establecimiento con tecnología de control. En cuanto a contexto y alcance, se definieron dos periodos de 7 días cada uno: con control hidráulico activo entre el 13 y el 19 de abril de 2026 y con control desactivado entre el 6 y el 12 de abril de 2026, de modo que ambas series son comparables y permiten dimensionar la diferencia de consumo atribuible al servicio WES.</w:t>
      </w:r>
    </w:p>
    <w:p>
      <w:pPr>
        <w:keepNext w:val="0"/>
        <w:widowControl/>
        <w:jc w:val="both"/>
      </w:pPr>
      <w:r>
        <w:t>En la elaboración de los indicadores se consideran, para cada nodo, solo registros con fecha válida; el promedio diario de un periodo es la suma de los consumos diarios dividida por la cantidad de días del periodo. El ahorro estimado en volumen (m³/día) se expresa como max(0, promedio_desactivado − promedio_activo) y el ahorro porcentual como (ahorro_m3_dia / promedio_desactivado) × 100. La visualización gráfica —en especial la curva diaria— contrasta ambos periodos y facilita evidenciar el impacto del control WES.</w:t>
      </w:r>
    </w:p>
    <w:p>
      <w:pPr>
        <w:keepNext w:val="0"/>
        <w:widowControl/>
        <w:jc w:val="both"/>
      </w:pPr>
      <w:r>
        <w:t>Para Cumbre de cóndores pte., punto de medición WES 000017-07 (Cumbre de cóndores pte.), las series se construyen además en rejilla horaria a partir de datos de la plataforma en zona horaria Chile, para el periodo con control (13-04-2026 al 19-04-2026) y el periodo sin control (06-04-2026 al 12-04-2026), en jornada completa 00:00 a 24:00 (una lectura por hora; fin de intervalo exclusivo). Si una hora no tiene dato, se asume 0 m³/h para mantener una grilla comparable (168 intervalos: 7 días × 24 horas). Como resultados esperados de este ejercicio se busca disponer de una línea de base actualizada para la estimación de eficiencia y proyectar el ahorro de agua (m³) y una estimación económica orientativa en dinero (CLP $).</w:t>
      </w:r>
    </w:p>
    <w:p>
      <w:r>
        <w:br w:type="page"/>
      </w:r>
    </w:p>
    <w:p>
      <w:pPr>
        <w:pStyle w:val="Ttulo1"/>
        <w:keepNext/>
        <w:widowControl/>
        <w:spacing w:after="200"/>
      </w:pPr>
      <w:r>
        <w:rPr>
          <w:rFonts w:ascii="Calibri" w:hAnsi="Calibri"/>
          <w:b/>
          <w:color w:val="1F4788"/>
          <w:sz w:val="28"/>
        </w:rPr>
        <w:t>Registros de consumos</w:t>
      </w:r>
    </w:p>
    <w:p>
      <w:pPr>
        <w:keepNext/>
        <w:widowControl/>
        <w:jc w:val="both"/>
      </w:pPr>
      <w:r>
        <w:t>Comparación del total acumulado en la rejilla horaria Σ (m³/h) entre Con WES y Sin WES (misma base que el Excel consolidado por CSV):</w:t>
      </w:r>
    </w:p>
    <w:p>
      <w:pPr>
        <w:keepNext/>
        <w:widowControl/>
        <w:spacing w:after="60"/>
        <w:jc w:val="center"/>
      </w:pPr>
      <w:r>
        <w:drawing>
          <wp:inline xmlns:a="http://schemas.openxmlformats.org/drawingml/2006/main" xmlns:pic="http://schemas.openxmlformats.org/drawingml/2006/picture">
            <wp:extent cx="4754880" cy="2621610"/>
            <wp:docPr id="1" name="Picture 1"/>
            <wp:cNvGraphicFramePr>
              <a:graphicFrameLocks noChangeAspect="1"/>
            </wp:cNvGraphicFramePr>
            <a:graphic>
              <a:graphicData uri="http://schemas.openxmlformats.org/drawingml/2006/picture">
                <pic:pic>
                  <pic:nvPicPr>
                    <pic:cNvPr id="0" name="cpa_icco_renca_barras_borrador_000017-07.png"/>
                    <pic:cNvPicPr/>
                  </pic:nvPicPr>
                  <pic:blipFill>
                    <a:blip r:embed="rId27"/>
                    <a:stretch>
                      <a:fillRect/>
                    </a:stretch>
                  </pic:blipFill>
                  <pic:spPr>
                    <a:xfrm>
                      <a:off x="0" y="0"/>
                      <a:ext cx="4754880" cy="2621610"/>
                    </a:xfrm>
                    <a:prstGeom prst="rect"/>
                  </pic:spPr>
                </pic:pic>
              </a:graphicData>
            </a:graphic>
          </wp:inline>
        </w:drawing>
      </w:r>
    </w:p>
    <w:p>
      <w:pPr>
        <w:spacing w:before="280" w:after="120"/>
      </w:pPr>
    </w:p>
    <w:p>
      <w:pPr>
        <w:keepNext/>
        <w:widowControl/>
        <w:jc w:val="both"/>
      </w:pPr>
      <w:r>
        <w:t>Jornada de medición (cada día): 00:00 a 24:00 (Chile). Σ rejilla = suma de todos los intervalos horarios (m³/h) del periodo; promedio diario = Σ rejilla ÷ número de días del periodo.</w:t>
      </w:r>
    </w:p>
    <w:tbl>
      <w:tblPr>
        <w:tblW w:type="auto" w:w="0"/>
        <w:tblLook w:firstColumn="1" w:firstRow="1" w:lastColumn="0" w:lastRow="0" w:noHBand="0" w:noVBand="1" w:val="04A0"/>
        <w:tblBorders>
          <w:top w:val="single" w:sz="4" w:space="0" w:color="8FAADC"/>
          <w:left w:val="single" w:sz="4" w:space="0" w:color="8FAADC"/>
          <w:bottom w:val="single" w:sz="4" w:space="0" w:color="8FAADC"/>
          <w:right w:val="single" w:sz="4" w:space="0" w:color="8FAADC"/>
          <w:insideH w:val="single" w:sz="4" w:space="0" w:color="8FAADC"/>
          <w:insideV w:val="single" w:sz="4" w:space="0" w:color="8FAADC"/>
        </w:tblBorders>
      </w:tblPr>
      <w:tblGrid>
        <w:gridCol w:w="2362"/>
        <w:gridCol w:w="2362"/>
        <w:gridCol w:w="2362"/>
        <w:gridCol w:w="2362"/>
      </w:tblGrid>
      <w:tr>
        <w:tc>
          <w:tcPr>
            <w:tcW w:type="dxa" w:w="2362"/>
            <w:shd w:val="clear" w:fill="D9E1F2"/>
          </w:tcPr>
          <w:p>
            <w:pPr>
              <w:jc w:val="center"/>
            </w:pPr>
            <w:r>
              <w:rPr>
                <w:b/>
                <w:color w:val="1F4788"/>
              </w:rPr>
              <w:t>Condición</w:t>
            </w:r>
          </w:p>
        </w:tc>
        <w:tc>
          <w:tcPr>
            <w:tcW w:type="dxa" w:w="2362"/>
            <w:shd w:val="clear" w:fill="D9E1F2"/>
          </w:tcPr>
          <w:p>
            <w:pPr>
              <w:jc w:val="center"/>
            </w:pPr>
            <w:r>
              <w:rPr>
                <w:b/>
                <w:color w:val="1F4788"/>
              </w:rPr>
              <w:t>Periodo</w:t>
            </w:r>
          </w:p>
        </w:tc>
        <w:tc>
          <w:tcPr>
            <w:tcW w:type="dxa" w:w="2362"/>
            <w:shd w:val="clear" w:fill="D9E1F2"/>
          </w:tcPr>
          <w:p>
            <w:pPr>
              <w:jc w:val="center"/>
            </w:pPr>
            <w:r>
              <w:rPr>
                <w:b/>
                <w:color w:val="1F4788"/>
              </w:rPr>
              <w:t>Σ rejilla (m³/h)</w:t>
            </w:r>
          </w:p>
        </w:tc>
        <w:tc>
          <w:tcPr>
            <w:tcW w:type="dxa" w:w="2362"/>
            <w:shd w:val="clear" w:fill="D9E1F2"/>
          </w:tcPr>
          <w:p>
            <w:pPr>
              <w:jc w:val="center"/>
            </w:pPr>
            <w:r>
              <w:rPr>
                <w:b/>
                <w:color w:val="1F4788"/>
              </w:rPr>
              <w:t>Promedio diario (m³/h)</w:t>
            </w:r>
          </w:p>
        </w:tc>
      </w:tr>
      <w:tr>
        <w:tc>
          <w:tcPr>
            <w:tcW w:type="dxa" w:w="2362"/>
            <w:shd w:val="clear" w:fill="FFFFFF"/>
          </w:tcPr>
          <w:p>
            <w:pPr>
              <w:jc w:val="left"/>
            </w:pPr>
            <w:r>
              <w:rPr>
                <w:b/>
                <w:color w:val="000000"/>
              </w:rPr>
              <w:t>Con WES</w:t>
            </w:r>
          </w:p>
        </w:tc>
        <w:tc>
          <w:tcPr>
            <w:tcW w:type="dxa" w:w="2362"/>
            <w:shd w:val="clear" w:fill="FFFFFF"/>
          </w:tcPr>
          <w:p>
            <w:pPr>
              <w:jc w:val="left"/>
            </w:pPr>
            <w:r>
              <w:rPr>
                <w:b w:val="0"/>
                <w:color w:val="000000"/>
              </w:rPr>
              <w:t>13 al 19 abril 2026</w:t>
            </w:r>
          </w:p>
        </w:tc>
        <w:tc>
          <w:tcPr>
            <w:tcW w:type="dxa" w:w="2362"/>
            <w:shd w:val="clear" w:fill="FFFFFF"/>
          </w:tcPr>
          <w:p>
            <w:pPr>
              <w:jc w:val="left"/>
            </w:pPr>
            <w:r>
              <w:rPr>
                <w:b w:val="0"/>
                <w:color w:val="000000"/>
              </w:rPr>
              <w:t>57,5</w:t>
            </w:r>
          </w:p>
        </w:tc>
        <w:tc>
          <w:tcPr>
            <w:tcW w:type="dxa" w:w="2362"/>
            <w:shd w:val="clear" w:fill="FFFFFF"/>
          </w:tcPr>
          <w:p>
            <w:pPr>
              <w:jc w:val="left"/>
            </w:pPr>
            <w:r>
              <w:rPr>
                <w:b w:val="0"/>
                <w:color w:val="000000"/>
              </w:rPr>
              <w:t>8,214</w:t>
            </w:r>
          </w:p>
        </w:tc>
      </w:tr>
      <w:tr>
        <w:tc>
          <w:tcPr>
            <w:tcW w:type="dxa" w:w="2362"/>
            <w:shd w:val="clear" w:fill="FFFFFF"/>
          </w:tcPr>
          <w:p>
            <w:pPr>
              <w:jc w:val="left"/>
            </w:pPr>
            <w:r>
              <w:rPr>
                <w:b/>
                <w:color w:val="000000"/>
              </w:rPr>
              <w:t>Sin WES</w:t>
            </w:r>
          </w:p>
        </w:tc>
        <w:tc>
          <w:tcPr>
            <w:tcW w:type="dxa" w:w="2362"/>
            <w:shd w:val="clear" w:fill="FFFFFF"/>
          </w:tcPr>
          <w:p>
            <w:pPr>
              <w:jc w:val="left"/>
            </w:pPr>
            <w:r>
              <w:rPr>
                <w:b w:val="0"/>
                <w:color w:val="000000"/>
              </w:rPr>
              <w:t>06 al 12 abril 2026</w:t>
            </w:r>
          </w:p>
        </w:tc>
        <w:tc>
          <w:tcPr>
            <w:tcW w:type="dxa" w:w="2362"/>
            <w:shd w:val="clear" w:fill="FFFFFF"/>
          </w:tcPr>
          <w:p>
            <w:pPr>
              <w:jc w:val="left"/>
            </w:pPr>
            <w:r>
              <w:rPr>
                <w:b w:val="0"/>
                <w:color w:val="000000"/>
              </w:rPr>
              <w:t>54,3</w:t>
            </w:r>
          </w:p>
        </w:tc>
        <w:tc>
          <w:tcPr>
            <w:tcW w:type="dxa" w:w="2362"/>
            <w:shd w:val="clear" w:fill="FFFFFF"/>
          </w:tcPr>
          <w:p>
            <w:pPr>
              <w:jc w:val="left"/>
            </w:pPr>
            <w:r>
              <w:rPr>
                <w:b w:val="0"/>
                <w:color w:val="000000"/>
              </w:rPr>
              <w:t>7,757</w:t>
            </w:r>
          </w:p>
        </w:tc>
      </w:tr>
    </w:tbl>
    <w:p>
      <w:pPr>
        <w:spacing w:after="120"/>
      </w:pPr>
    </w:p>
    <w:p>
      <w:pPr>
        <w:keepNext w:val="0"/>
        <w:widowControl/>
        <w:jc w:val="both"/>
      </w:pPr>
      <w:r>
        <w:t>Métricas y serie horaria (jornada completa) exportadas: cpa_icco_renca_borrador_000017-07.csv.</w:t>
      </w:r>
    </w:p>
    <w:p/>
    <w:p>
      <w:pPr>
        <w:pStyle w:val="Ttulo2"/>
        <w:keepNext/>
        <w:widowControl/>
        <w:spacing w:after="160"/>
      </w:pPr>
      <w:r>
        <w:rPr>
          <w:rFonts w:ascii="Calibri" w:hAnsi="Calibri"/>
          <w:b/>
          <w:color w:val="1F4788"/>
          <w:sz w:val="26"/>
        </w:rPr>
        <w:t>Perfil horario completo (24 h): Con WES vs línea base</w:t>
      </w:r>
    </w:p>
    <w:p>
      <w:pPr>
        <w:keepNext/>
        <w:widowControl/>
        <w:jc w:val="both"/>
      </w:pPr>
      <w:r>
        <w:t>Los gráficos siguientes muestran el consumo horario (m³/h) en zona horaria Chile, para cada par de días homólogos: periodo con control (Con WES) frente al periodo sin control (línea base Sin WES). Las áreas semitransparentes permiten comparar visualmente ambas series.</w:t>
      </w:r>
    </w:p>
    <w:p>
      <w:pPr>
        <w:keepNext/>
        <w:widowControl/>
        <w:jc w:val="both"/>
      </w:pPr>
      <w:r>
        <w:t>Lunes — día homólogo con control (13-04-2026) vs sin control (06-04-2026): consumo diario aproximado (suma de las 24 horas en m³/h) Con WES 10,1 m³; Sin WES (línea base) 11 m³; diferencia (Con − Sin) -0,9 m³ (-8,91 % respecto del día con WES).</w:t>
      </w:r>
    </w:p>
    <w:p>
      <w:pPr>
        <w:keepNext/>
        <w:widowControl/>
        <w:spacing w:after="60"/>
        <w:jc w:val="center"/>
      </w:pPr>
      <w:r>
        <w:drawing>
          <wp:inline xmlns:a="http://schemas.openxmlformats.org/drawingml/2006/main" xmlns:pic="http://schemas.openxmlformats.org/drawingml/2006/picture">
            <wp:extent cx="5486400" cy="2451853"/>
            <wp:docPr id="2" name="Picture 2"/>
            <wp:cNvGraphicFramePr>
              <a:graphicFrameLocks noChangeAspect="1"/>
            </wp:cNvGraphicFramePr>
            <a:graphic>
              <a:graphicData uri="http://schemas.openxmlformats.org/drawingml/2006/picture">
                <pic:pic>
                  <pic:nvPicPr>
                    <pic:cNvPr id="0" name="cpa_icco_renca_wes_24h_lunes_borrador_000017-07.png"/>
                    <pic:cNvPicPr/>
                  </pic:nvPicPr>
                  <pic:blipFill>
                    <a:blip r:embed="rId28"/>
                    <a:stretch>
                      <a:fillRect/>
                    </a:stretch>
                  </pic:blipFill>
                  <pic:spPr>
                    <a:xfrm>
                      <a:off x="0" y="0"/>
                      <a:ext cx="5486400" cy="2451853"/>
                    </a:xfrm>
                    <a:prstGeom prst="rect"/>
                  </pic:spPr>
                </pic:pic>
              </a:graphicData>
            </a:graphic>
          </wp:inline>
        </w:drawing>
      </w:r>
    </w:p>
    <w:p>
      <w:pPr>
        <w:spacing w:after="160"/>
      </w:pPr>
    </w:p>
    <w:p>
      <w:pPr>
        <w:keepNext/>
        <w:widowControl/>
        <w:jc w:val="both"/>
      </w:pPr>
      <w:r>
        <w:t>Martes — día homólogo con control (14-04-2026) vs sin control (07-04-2026): consumo diario aproximado (suma de las 24 horas en m³/h) Con WES 8,6 m³; Sin WES (línea base) 11,6 m³; diferencia (Con − Sin) -3 m³ (-34,88 % respecto del día con WES).</w:t>
      </w:r>
    </w:p>
    <w:p>
      <w:pPr>
        <w:keepNext/>
        <w:widowControl/>
        <w:spacing w:after="60"/>
        <w:jc w:val="center"/>
      </w:pPr>
      <w:r>
        <w:drawing>
          <wp:inline xmlns:a="http://schemas.openxmlformats.org/drawingml/2006/main" xmlns:pic="http://schemas.openxmlformats.org/drawingml/2006/picture">
            <wp:extent cx="5486400" cy="2451853"/>
            <wp:docPr id="3" name="Picture 3"/>
            <wp:cNvGraphicFramePr>
              <a:graphicFrameLocks noChangeAspect="1"/>
            </wp:cNvGraphicFramePr>
            <a:graphic>
              <a:graphicData uri="http://schemas.openxmlformats.org/drawingml/2006/picture">
                <pic:pic>
                  <pic:nvPicPr>
                    <pic:cNvPr id="0" name="cpa_icco_renca_wes_24h_martes_borrador_000017-07.png"/>
                    <pic:cNvPicPr/>
                  </pic:nvPicPr>
                  <pic:blipFill>
                    <a:blip r:embed="rId29"/>
                    <a:stretch>
                      <a:fillRect/>
                    </a:stretch>
                  </pic:blipFill>
                  <pic:spPr>
                    <a:xfrm>
                      <a:off x="0" y="0"/>
                      <a:ext cx="5486400" cy="2451853"/>
                    </a:xfrm>
                    <a:prstGeom prst="rect"/>
                  </pic:spPr>
                </pic:pic>
              </a:graphicData>
            </a:graphic>
          </wp:inline>
        </w:drawing>
      </w:r>
    </w:p>
    <w:p>
      <w:pPr>
        <w:spacing w:after="160"/>
      </w:pPr>
    </w:p>
    <w:p>
      <w:pPr>
        <w:keepNext/>
        <w:widowControl/>
        <w:jc w:val="both"/>
      </w:pPr>
      <w:r>
        <w:t>Miércoles — día homólogo con control (15-04-2026) vs sin control (08-04-2026): consumo diario aproximado (suma de las 24 horas en m³/h) Con WES 9,1 m³; Sin WES (línea base) 9,3 m³; diferencia (Con − Sin) -0,2 m³ (-2,2 % respecto del día con WES).</w:t>
      </w:r>
    </w:p>
    <w:p>
      <w:pPr>
        <w:keepNext/>
        <w:widowControl/>
        <w:spacing w:after="60"/>
        <w:jc w:val="center"/>
      </w:pPr>
      <w:r>
        <w:drawing>
          <wp:inline xmlns:a="http://schemas.openxmlformats.org/drawingml/2006/main" xmlns:pic="http://schemas.openxmlformats.org/drawingml/2006/picture">
            <wp:extent cx="5486400" cy="2451853"/>
            <wp:docPr id="4" name="Picture 4"/>
            <wp:cNvGraphicFramePr>
              <a:graphicFrameLocks noChangeAspect="1"/>
            </wp:cNvGraphicFramePr>
            <a:graphic>
              <a:graphicData uri="http://schemas.openxmlformats.org/drawingml/2006/picture">
                <pic:pic>
                  <pic:nvPicPr>
                    <pic:cNvPr id="0" name="cpa_icco_renca_wes_24h_miercoles_borrador_000017-07.png"/>
                    <pic:cNvPicPr/>
                  </pic:nvPicPr>
                  <pic:blipFill>
                    <a:blip r:embed="rId30"/>
                    <a:stretch>
                      <a:fillRect/>
                    </a:stretch>
                  </pic:blipFill>
                  <pic:spPr>
                    <a:xfrm>
                      <a:off x="0" y="0"/>
                      <a:ext cx="5486400" cy="2451853"/>
                    </a:xfrm>
                    <a:prstGeom prst="rect"/>
                  </pic:spPr>
                </pic:pic>
              </a:graphicData>
            </a:graphic>
          </wp:inline>
        </w:drawing>
      </w:r>
    </w:p>
    <w:p>
      <w:pPr>
        <w:spacing w:after="160"/>
      </w:pPr>
    </w:p>
    <w:p>
      <w:pPr>
        <w:keepNext/>
        <w:widowControl/>
        <w:jc w:val="both"/>
      </w:pPr>
      <w:r>
        <w:t>Jueves — día homólogo con control (16-04-2026) vs sin control (09-04-2026): consumo diario aproximado (suma de las 24 horas en m³/h) Con WES 11 m³; Sin WES (línea base) 10,7 m³; diferencia (Con − Sin) 0,3 m³ (2,73 % respecto del día con WES).</w:t>
      </w:r>
    </w:p>
    <w:p>
      <w:pPr>
        <w:keepNext/>
        <w:widowControl/>
        <w:spacing w:after="60"/>
        <w:jc w:val="center"/>
      </w:pPr>
      <w:r>
        <w:drawing>
          <wp:inline xmlns:a="http://schemas.openxmlformats.org/drawingml/2006/main" xmlns:pic="http://schemas.openxmlformats.org/drawingml/2006/picture">
            <wp:extent cx="5486400" cy="2455637"/>
            <wp:docPr id="5" name="Picture 5"/>
            <wp:cNvGraphicFramePr>
              <a:graphicFrameLocks noChangeAspect="1"/>
            </wp:cNvGraphicFramePr>
            <a:graphic>
              <a:graphicData uri="http://schemas.openxmlformats.org/drawingml/2006/picture">
                <pic:pic>
                  <pic:nvPicPr>
                    <pic:cNvPr id="0" name="cpa_icco_renca_wes_24h_jueves_borrador_000017-07.png"/>
                    <pic:cNvPicPr/>
                  </pic:nvPicPr>
                  <pic:blipFill>
                    <a:blip r:embed="rId31"/>
                    <a:stretch>
                      <a:fillRect/>
                    </a:stretch>
                  </pic:blipFill>
                  <pic:spPr>
                    <a:xfrm>
                      <a:off x="0" y="0"/>
                      <a:ext cx="5486400" cy="2455637"/>
                    </a:xfrm>
                    <a:prstGeom prst="rect"/>
                  </pic:spPr>
                </pic:pic>
              </a:graphicData>
            </a:graphic>
          </wp:inline>
        </w:drawing>
      </w:r>
    </w:p>
    <w:p>
      <w:pPr>
        <w:spacing w:after="160"/>
      </w:pPr>
    </w:p>
    <w:p>
      <w:pPr>
        <w:keepNext/>
        <w:widowControl/>
        <w:jc w:val="both"/>
      </w:pPr>
      <w:r>
        <w:t>Viernes — día homólogo con control (17-04-2026) vs sin control (10-04-2026): consumo diario aproximado (suma de las 24 horas en m³/h) Con WES 9,6 m³; Sin WES (línea base) 9 m³; diferencia (Con − Sin) 0,6 m³ (6,25 % respecto del día con WES).</w:t>
      </w:r>
    </w:p>
    <w:p>
      <w:pPr>
        <w:keepNext/>
        <w:widowControl/>
        <w:spacing w:after="60"/>
        <w:jc w:val="center"/>
      </w:pPr>
      <w:r>
        <w:drawing>
          <wp:inline xmlns:a="http://schemas.openxmlformats.org/drawingml/2006/main" xmlns:pic="http://schemas.openxmlformats.org/drawingml/2006/picture">
            <wp:extent cx="5486400" cy="2451853"/>
            <wp:docPr id="6" name="Picture 6"/>
            <wp:cNvGraphicFramePr>
              <a:graphicFrameLocks noChangeAspect="1"/>
            </wp:cNvGraphicFramePr>
            <a:graphic>
              <a:graphicData uri="http://schemas.openxmlformats.org/drawingml/2006/picture">
                <pic:pic>
                  <pic:nvPicPr>
                    <pic:cNvPr id="0" name="cpa_icco_renca_wes_24h_viernes_borrador_000017-07.png"/>
                    <pic:cNvPicPr/>
                  </pic:nvPicPr>
                  <pic:blipFill>
                    <a:blip r:embed="rId32"/>
                    <a:stretch>
                      <a:fillRect/>
                    </a:stretch>
                  </pic:blipFill>
                  <pic:spPr>
                    <a:xfrm>
                      <a:off x="0" y="0"/>
                      <a:ext cx="5486400" cy="2451853"/>
                    </a:xfrm>
                    <a:prstGeom prst="rect"/>
                  </pic:spPr>
                </pic:pic>
              </a:graphicData>
            </a:graphic>
          </wp:inline>
        </w:drawing>
      </w:r>
    </w:p>
    <w:p>
      <w:pPr>
        <w:spacing w:after="160"/>
      </w:pPr>
    </w:p>
    <w:p>
      <w:pPr>
        <w:keepNext/>
        <w:widowControl/>
        <w:jc w:val="both"/>
      </w:pPr>
      <w:r>
        <w:t>Sábado — día homólogo con control (18-04-2026) vs sin control (11-04-2026): consumo diario aproximado (suma de las 24 horas en m³/h) Con WES 9,1 m³; Sin WES (línea base) 1,5 m³; diferencia (Con − Sin) 7,6 m³ (83,52 % respecto del día con WES).</w:t>
      </w:r>
    </w:p>
    <w:p>
      <w:pPr>
        <w:keepNext/>
        <w:widowControl/>
        <w:spacing w:after="60"/>
        <w:jc w:val="center"/>
      </w:pPr>
      <w:r>
        <w:drawing>
          <wp:inline xmlns:a="http://schemas.openxmlformats.org/drawingml/2006/main" xmlns:pic="http://schemas.openxmlformats.org/drawingml/2006/picture">
            <wp:extent cx="5486400" cy="2451853"/>
            <wp:docPr id="7" name="Picture 7"/>
            <wp:cNvGraphicFramePr>
              <a:graphicFrameLocks noChangeAspect="1"/>
            </wp:cNvGraphicFramePr>
            <a:graphic>
              <a:graphicData uri="http://schemas.openxmlformats.org/drawingml/2006/picture">
                <pic:pic>
                  <pic:nvPicPr>
                    <pic:cNvPr id="0" name="cpa_icco_renca_wes_24h_sabado_borrador_000017-07.png"/>
                    <pic:cNvPicPr/>
                  </pic:nvPicPr>
                  <pic:blipFill>
                    <a:blip r:embed="rId33"/>
                    <a:stretch>
                      <a:fillRect/>
                    </a:stretch>
                  </pic:blipFill>
                  <pic:spPr>
                    <a:xfrm>
                      <a:off x="0" y="0"/>
                      <a:ext cx="5486400" cy="2451853"/>
                    </a:xfrm>
                    <a:prstGeom prst="rect"/>
                  </pic:spPr>
                </pic:pic>
              </a:graphicData>
            </a:graphic>
          </wp:inline>
        </w:drawing>
      </w:r>
    </w:p>
    <w:p>
      <w:pPr>
        <w:spacing w:after="160"/>
      </w:pPr>
    </w:p>
    <w:p>
      <w:pPr>
        <w:keepNext/>
        <w:widowControl/>
        <w:jc w:val="both"/>
      </w:pPr>
      <w:r>
        <w:t>Domingo — día homólogo con control (19-04-2026) vs sin control (12-04-2026): consumo diario aproximado (suma de las 24 horas en m³/h) Con WES 0 m³; Sin WES (línea base) 1,2 m³; diferencia (Con − Sin) -1,2 m³ (0 % respecto del día con WES).</w:t>
      </w:r>
    </w:p>
    <w:p>
      <w:pPr>
        <w:keepNext/>
        <w:widowControl/>
        <w:spacing w:after="60"/>
        <w:jc w:val="center"/>
      </w:pPr>
      <w:r>
        <w:drawing>
          <wp:inline xmlns:a="http://schemas.openxmlformats.org/drawingml/2006/main" xmlns:pic="http://schemas.openxmlformats.org/drawingml/2006/picture">
            <wp:extent cx="5486400" cy="2455637"/>
            <wp:docPr id="8" name="Picture 8"/>
            <wp:cNvGraphicFramePr>
              <a:graphicFrameLocks noChangeAspect="1"/>
            </wp:cNvGraphicFramePr>
            <a:graphic>
              <a:graphicData uri="http://schemas.openxmlformats.org/drawingml/2006/picture">
                <pic:pic>
                  <pic:nvPicPr>
                    <pic:cNvPr id="0" name="cpa_icco_renca_wes_24h_domingo_borrador_000017-07.png"/>
                    <pic:cNvPicPr/>
                  </pic:nvPicPr>
                  <pic:blipFill>
                    <a:blip r:embed="rId34"/>
                    <a:stretch>
                      <a:fillRect/>
                    </a:stretch>
                  </pic:blipFill>
                  <pic:spPr>
                    <a:xfrm>
                      <a:off x="0" y="0"/>
                      <a:ext cx="5486400" cy="2455637"/>
                    </a:xfrm>
                    <a:prstGeom prst="rect"/>
                  </pic:spPr>
                </pic:pic>
              </a:graphicData>
            </a:graphic>
          </wp:inline>
        </w:drawing>
      </w:r>
    </w:p>
    <w:p>
      <w:pPr>
        <w:spacing w:after="160"/>
      </w:pPr>
    </w:p>
    <w:p>
      <w:pPr>
        <w:keepNext/>
        <w:widowControl/>
        <w:jc w:val="both"/>
      </w:pPr>
      <w:r>
        <w:t>Promedio horario de los 7 días homólogos (gráfico siguiente): Con WES 8,214 m³/día; Sin WES 7,757 m³/día; diferencia media 0,457 m³/día (5,57 % sobre el promedio con WES).</w:t>
      </w:r>
    </w:p>
    <w:p>
      <w:pPr>
        <w:widowControl/>
        <w:spacing w:after="60"/>
        <w:jc w:val="center"/>
      </w:pPr>
      <w:r>
        <w:drawing>
          <wp:inline xmlns:a="http://schemas.openxmlformats.org/drawingml/2006/main" xmlns:pic="http://schemas.openxmlformats.org/drawingml/2006/picture">
            <wp:extent cx="5486400" cy="2459420"/>
            <wp:docPr id="9" name="Picture 9"/>
            <wp:cNvGraphicFramePr>
              <a:graphicFrameLocks noChangeAspect="1"/>
            </wp:cNvGraphicFramePr>
            <a:graphic>
              <a:graphicData uri="http://schemas.openxmlformats.org/drawingml/2006/picture">
                <pic:pic>
                  <pic:nvPicPr>
                    <pic:cNvPr id="0" name="cpa_icco_renca_wes_24h_promedio_borrador_000017-07.png"/>
                    <pic:cNvPicPr/>
                  </pic:nvPicPr>
                  <pic:blipFill>
                    <a:blip r:embed="rId35"/>
                    <a:stretch>
                      <a:fillRect/>
                    </a:stretch>
                  </pic:blipFill>
                  <pic:spPr>
                    <a:xfrm>
                      <a:off x="0" y="0"/>
                      <a:ext cx="5486400" cy="2459420"/>
                    </a:xfrm>
                    <a:prstGeom prst="rect"/>
                  </pic:spPr>
                </pic:pic>
              </a:graphicData>
            </a:graphic>
          </wp:inline>
        </w:drawing>
      </w:r>
    </w:p>
    <w:p>
      <w:r>
        <w:br w:type="page"/>
      </w:r>
    </w:p>
    <w:p>
      <w:pPr>
        <w:pStyle w:val="Ttulo1"/>
        <w:keepNext/>
        <w:widowControl/>
        <w:spacing w:after="160"/>
      </w:pPr>
      <w:r>
        <w:rPr>
          <w:rFonts w:ascii="Calibri" w:hAnsi="Calibri"/>
          <w:b/>
          <w:color w:val="1F4788"/>
          <w:sz w:val="28"/>
        </w:rPr>
        <w:t>Resultados y Conclusiones</w:t>
      </w:r>
    </w:p>
    <w:tbl>
      <w:tblPr>
        <w:tblW w:type="auto" w:w="0"/>
        <w:tblLook w:firstColumn="1" w:firstRow="1" w:lastColumn="0" w:lastRow="0" w:noHBand="0" w:noVBand="1" w:val="04A0"/>
        <w:jc w:val="center"/>
        <w:tblBorders>
          <w:top w:val="single" w:sz="4" w:space="0" w:color="8FAADC"/>
          <w:left w:val="single" w:sz="4" w:space="0" w:color="8FAADC"/>
          <w:bottom w:val="single" w:sz="4" w:space="0" w:color="8FAADC"/>
          <w:right w:val="single" w:sz="4" w:space="0" w:color="8FAADC"/>
          <w:insideH w:val="single" w:sz="4" w:space="0" w:color="8FAADC"/>
          <w:insideV w:val="single" w:sz="4" w:space="0" w:color="8FAADC"/>
        </w:tblBorders>
      </w:tblPr>
      <w:tblGrid>
        <w:gridCol w:w="7488"/>
        <w:gridCol w:w="2880"/>
      </w:tblGrid>
      <w:tr>
        <w:tc>
          <w:tcPr>
            <w:tcW w:type="dxa" w:w="4725"/>
            <w:shd w:val="clear" w:fill="D9E1F2"/>
          </w:tcPr>
          <w:p>
            <w:pPr>
              <w:jc w:val="center"/>
            </w:pPr>
            <w:r>
              <w:rPr>
                <w:b/>
                <w:color w:val="1F4788"/>
              </w:rPr>
              <w:t>Indicador</w:t>
            </w:r>
          </w:p>
        </w:tc>
        <w:tc>
          <w:tcPr>
            <w:tcW w:type="dxa" w:w="4725"/>
            <w:shd w:val="clear" w:fill="D9E1F2"/>
          </w:tcPr>
          <w:p>
            <w:pPr>
              <w:jc w:val="center"/>
            </w:pPr>
            <w:r>
              <w:rPr>
                <w:b/>
                <w:color w:val="1F4788"/>
              </w:rPr>
              <w:t>Valor</w:t>
            </w:r>
          </w:p>
        </w:tc>
      </w:tr>
      <w:tr>
        <w:tc>
          <w:tcPr>
            <w:tcW w:type="dxa" w:w="4725"/>
          </w:tcPr>
          <w:p>
            <w:pPr>
              <w:jc w:val="left"/>
            </w:pPr>
            <w:r>
              <w:rPr>
                <w:b/>
                <w:color w:val="000000"/>
              </w:rPr>
              <w:t>Promedio diario con control activo (13 al 19 abril 2026)</w:t>
            </w:r>
          </w:p>
        </w:tc>
        <w:tc>
          <w:tcPr>
            <w:tcW w:type="dxa" w:w="4725"/>
          </w:tcPr>
          <w:p>
            <w:pPr>
              <w:jc w:val="left"/>
            </w:pPr>
            <w:r>
              <w:rPr>
                <w:b w:val="0"/>
                <w:color w:val="000000"/>
              </w:rPr>
              <w:t>8.21 m3/dia</w:t>
            </w:r>
          </w:p>
        </w:tc>
      </w:tr>
      <w:tr>
        <w:tc>
          <w:tcPr>
            <w:tcW w:type="dxa" w:w="4725"/>
          </w:tcPr>
          <w:p>
            <w:pPr>
              <w:jc w:val="left"/>
            </w:pPr>
            <w:r>
              <w:rPr>
                <w:b/>
                <w:color w:val="000000"/>
              </w:rPr>
              <w:t>Promedio diario con control desactivado (06 al 12 abril 2026)</w:t>
            </w:r>
          </w:p>
        </w:tc>
        <w:tc>
          <w:tcPr>
            <w:tcW w:type="dxa" w:w="4725"/>
          </w:tcPr>
          <w:p>
            <w:pPr>
              <w:jc w:val="left"/>
            </w:pPr>
            <w:r>
              <w:rPr>
                <w:b w:val="0"/>
                <w:color w:val="000000"/>
              </w:rPr>
              <w:t>7.76 m3/dia</w:t>
            </w:r>
          </w:p>
        </w:tc>
      </w:tr>
      <w:tr>
        <w:tc>
          <w:tcPr>
            <w:tcW w:type="dxa" w:w="4725"/>
          </w:tcPr>
          <w:p>
            <w:pPr>
              <w:jc w:val="left"/>
            </w:pPr>
            <w:r>
              <w:rPr>
                <w:b/>
                <w:color w:val="000000"/>
              </w:rPr>
              <w:t>Ahorro promedio diario estimado por control WES</w:t>
            </w:r>
          </w:p>
        </w:tc>
        <w:tc>
          <w:tcPr>
            <w:tcW w:type="dxa" w:w="4725"/>
          </w:tcPr>
          <w:p>
            <w:pPr>
              <w:jc w:val="left"/>
            </w:pPr>
            <w:r>
              <w:rPr>
                <w:b w:val="0"/>
                <w:color w:val="000000"/>
              </w:rPr>
              <w:t>0.00 m3/dia</w:t>
            </w:r>
          </w:p>
        </w:tc>
      </w:tr>
      <w:tr>
        <w:tc>
          <w:tcPr>
            <w:tcW w:type="dxa" w:w="4725"/>
          </w:tcPr>
          <w:p>
            <w:pPr>
              <w:jc w:val="left"/>
            </w:pPr>
            <w:r>
              <w:rPr>
                <w:b/>
                <w:color w:val="000000"/>
              </w:rPr>
              <w:t>Ahorro porcentual</w:t>
            </w:r>
          </w:p>
        </w:tc>
        <w:tc>
          <w:tcPr>
            <w:tcW w:type="dxa" w:w="4725"/>
          </w:tcPr>
          <w:p>
            <w:pPr>
              <w:jc w:val="left"/>
            </w:pPr>
            <w:r>
              <w:rPr>
                <w:b w:val="0"/>
                <w:color w:val="000000"/>
              </w:rPr>
              <w:t>0.00%</w:t>
            </w:r>
          </w:p>
        </w:tc>
      </w:tr>
      <w:tr>
        <w:tc>
          <w:tcPr>
            <w:tcW w:type="dxa" w:w="4725"/>
          </w:tcPr>
          <w:p>
            <w:pPr>
              <w:jc w:val="left"/>
            </w:pPr>
            <w:r>
              <w:rPr>
                <w:b/>
                <w:color w:val="000000"/>
              </w:rPr>
              <w:t>Diferencia neta (desactivado - activo)</w:t>
            </w:r>
          </w:p>
        </w:tc>
        <w:tc>
          <w:tcPr>
            <w:tcW w:type="dxa" w:w="4725"/>
          </w:tcPr>
          <w:p>
            <w:pPr>
              <w:jc w:val="left"/>
            </w:pPr>
            <w:r>
              <w:rPr>
                <w:b w:val="0"/>
                <w:color w:val="000000"/>
              </w:rPr>
              <w:t>0.00 m3/dia</w:t>
            </w:r>
          </w:p>
        </w:tc>
      </w:tr>
    </w:tbl>
    <w:p>
      <w:pPr>
        <w:spacing w:after="160"/>
      </w:pPr>
    </w:p>
    <w:p>
      <w:pPr>
        <w:keepNext w:val="0"/>
        <w:widowControl/>
        <w:jc w:val="both"/>
      </w:pPr>
      <w:r>
        <w:t>En la rejilla (7 días, 00:00–24:00), Con WES 57,5 m³ y Sin WES 54,3 m³ (mayor Σ en Con WES en 3,2 m³). Detalle en Registros de consumos.</w:t>
      </w:r>
    </w:p>
    <w:p/>
    <w:p>
      <w:pPr>
        <w:jc w:val="center"/>
      </w:pPr>
      <w:r>
        <w:t>Ahorro sobre Sin WES: no aplica en este tramo.</w:t>
      </w:r>
    </w:p>
    <w:p/>
    <w:p>
      <w:pPr>
        <w:jc w:val="center"/>
      </w:pPr>
      <w:r>
        <w:rPr>
          <w:color w:val="646464"/>
          <w:sz w:val="18"/>
        </w:rPr>
        <w:t>Documento generado automáticamente — 05-05-2026 15:37 UTC</w:t>
      </w:r>
    </w:p>
    <w:sectPr w:rsidR="00464134">
      <w:headerReference w:type="default" r:id="rId20"/>
      <w:footerReference w:type="even" r:id="rId21"/>
      <w:footerReference w:type="default" r:id="rId22"/>
      <w:headerReference w:type="first" r:id="rId23"/>
      <w:footerReference w:type="first" r:id="rId24"/>
      <w:pgSz w:w="11910" w:h="16840"/>
      <w:pgMar w:top="1080" w:right="1290" w:bottom="1000" w:left="1170" w:header="0" w:footer="816"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260AE0" w14:textId="77777777" w:rsidR="009A495D" w:rsidRDefault="009A495D">
      <w:pPr>
        <w:spacing w:after="0" w:line="240" w:lineRule="auto"/>
      </w:pPr>
      <w:r>
        <w:separator/>
      </w:r>
    </w:p>
  </w:endnote>
  <w:endnote w:type="continuationSeparator" w:id="0">
    <w:p w14:paraId="4E260AE2" w14:textId="77777777" w:rsidR="009A495D" w:rsidRDefault="009A49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AC4DF6AB-3BAB-41C3-A88C-0CFB8F4A42AE}"/>
    <w:embedBold r:id="rId2" w:fontKey="{3D186F8D-CC34-43C9-8EBA-3D187B1E22CC}"/>
  </w:font>
  <w:font w:name="Nunito">
    <w:charset w:val="00"/>
    <w:family w:val="auto"/>
    <w:pitch w:val="variable"/>
    <w:sig w:usb0="A00002FF" w:usb1="5000204B" w:usb2="00000000" w:usb3="00000000" w:csb0="00000197" w:csb1="00000000"/>
    <w:embedRegular r:id="rId3" w:fontKey="{DE9AD32F-774D-4606-89FD-2DD47ABA0E5E}"/>
    <w:embedBold r:id="rId4" w:fontKey="{147F0C8E-75B2-41BA-9063-19940B8A9614}"/>
    <w:embedItalic r:id="rId5" w:fontKey="{1DF3ECEB-731F-4892-8F47-D52103E87A7A}"/>
  </w:font>
  <w:font w:name="Montserrat">
    <w:charset w:val="00"/>
    <w:family w:val="auto"/>
    <w:pitch w:val="variable"/>
    <w:sig w:usb0="2000020F" w:usb1="00000003" w:usb2="00000000" w:usb3="00000000" w:csb0="00000197" w:csb1="00000000"/>
    <w:embedRegular r:id="rId6" w:fontKey="{5B64292B-E137-43C8-8E9B-3022DC0F84CC}"/>
    <w:embedBold r:id="rId7" w:fontKey="{34B2A3C8-1D33-46E1-9378-FEC1869B566E}"/>
  </w:font>
  <w:font w:name="Verdana">
    <w:panose1 w:val="020B0604030504040204"/>
    <w:charset w:val="00"/>
    <w:family w:val="swiss"/>
    <w:pitch w:val="variable"/>
    <w:sig w:usb0="A00006FF" w:usb1="4000205B" w:usb2="00000010" w:usb3="00000000" w:csb0="0000019F" w:csb1="00000000"/>
    <w:embedRegular r:id="rId8" w:fontKey="{AEA5B984-5246-431A-9532-7792E23F9539}"/>
    <w:embedBold r:id="rId9" w:fontKey="{4B4DF9FA-27E2-4695-AD41-CB9F5B58095C}"/>
  </w:font>
  <w:font w:name="Cambria">
    <w:panose1 w:val="02040503050406030204"/>
    <w:charset w:val="00"/>
    <w:family w:val="roman"/>
    <w:pitch w:val="variable"/>
    <w:sig w:usb0="E00006FF" w:usb1="420024FF" w:usb2="02000000" w:usb3="00000000" w:csb0="0000019F" w:csb1="00000000"/>
    <w:embedRegular r:id="rId10" w:fontKey="{B03B8333-4C09-4093-94AF-663BB4543FE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260AD6" w14:textId="77777777" w:rsidR="00464134" w:rsidRDefault="009A495D">
    <w:pPr>
      <w:pBdr>
        <w:top w:val="nil"/>
        <w:left w:val="nil"/>
        <w:bottom w:val="nil"/>
        <w:right w:val="nil"/>
        <w:between w:val="nil"/>
      </w:pBdr>
      <w:tabs>
        <w:tab w:val="center" w:pos="4680"/>
        <w:tab w:val="right" w:pos="9360"/>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4E260AD7" w14:textId="77777777" w:rsidR="00464134" w:rsidRDefault="00464134">
    <w:pPr>
      <w:pBdr>
        <w:top w:val="nil"/>
        <w:left w:val="nil"/>
        <w:bottom w:val="nil"/>
        <w:right w:val="nil"/>
        <w:between w:val="nil"/>
      </w:pBdr>
      <w:tabs>
        <w:tab w:val="center" w:pos="4680"/>
        <w:tab w:val="right" w:pos="9360"/>
      </w:tabs>
      <w:spacing w:after="0" w:line="240" w:lineRule="auto"/>
      <w:ind w:right="36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260AD8" w14:textId="39DCFE05" w:rsidR="00464134" w:rsidRDefault="009A495D">
    <w:pPr>
      <w:pBdr>
        <w:top w:val="nil"/>
        <w:left w:val="nil"/>
        <w:bottom w:val="nil"/>
        <w:right w:val="nil"/>
        <w:between w:val="nil"/>
      </w:pBdr>
      <w:tabs>
        <w:tab w:val="center" w:pos="4680"/>
        <w:tab w:val="right" w:pos="9360"/>
      </w:tabs>
      <w:spacing w:after="0" w:line="240" w:lineRule="auto"/>
      <w:jc w:val="right"/>
      <w:rPr>
        <w:rFonts w:ascii="Nunito" w:eastAsia="Nunito" w:hAnsi="Nunito" w:cs="Nunito"/>
        <w:color w:val="000000"/>
      </w:rPr>
    </w:pPr>
    <w:r>
      <w:rPr>
        <w:rFonts w:ascii="Nunito" w:eastAsia="Nunito" w:hAnsi="Nunito" w:cs="Nunito"/>
        <w:color w:val="000000"/>
      </w:rPr>
      <w:fldChar w:fldCharType="begin"/>
    </w:r>
    <w:r>
      <w:rPr>
        <w:rFonts w:ascii="Nunito" w:eastAsia="Nunito" w:hAnsi="Nunito" w:cs="Nunito"/>
        <w:color w:val="000000"/>
      </w:rPr>
      <w:instrText>PAGE</w:instrText>
    </w:r>
    <w:r>
      <w:rPr>
        <w:rFonts w:ascii="Nunito" w:eastAsia="Nunito" w:hAnsi="Nunito" w:cs="Nunito"/>
        <w:color w:val="000000"/>
      </w:rPr>
      <w:fldChar w:fldCharType="separate"/>
    </w:r>
    <w:r>
      <w:rPr>
        <w:rFonts w:ascii="Nunito" w:eastAsia="Nunito" w:hAnsi="Nunito" w:cs="Nunito"/>
        <w:noProof/>
        <w:color w:val="000000"/>
      </w:rPr>
      <w:t>1</w:t>
    </w:r>
    <w:r>
      <w:rPr>
        <w:rFonts w:ascii="Nunito" w:eastAsia="Nunito" w:hAnsi="Nunito" w:cs="Nunito"/>
        <w:color w:val="000000"/>
      </w:rPr>
      <w:fldChar w:fldCharType="end"/>
    </w:r>
  </w:p>
  <w:p w14:paraId="4E260AD9" w14:textId="77777777" w:rsidR="00464134" w:rsidRDefault="00464134">
    <w:pPr>
      <w:pBdr>
        <w:top w:val="nil"/>
        <w:left w:val="nil"/>
        <w:bottom w:val="nil"/>
        <w:right w:val="nil"/>
        <w:between w:val="nil"/>
      </w:pBdr>
      <w:tabs>
        <w:tab w:val="center" w:pos="4680"/>
        <w:tab w:val="right" w:pos="9360"/>
      </w:tabs>
      <w:spacing w:after="0" w:line="240" w:lineRule="auto"/>
      <w:ind w:right="360"/>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260ADB" w14:textId="77777777" w:rsidR="00464134" w:rsidRDefault="0046413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260ADC" w14:textId="77777777" w:rsidR="009A495D" w:rsidRDefault="009A495D">
      <w:pPr>
        <w:spacing w:after="0" w:line="240" w:lineRule="auto"/>
      </w:pPr>
      <w:r>
        <w:separator/>
      </w:r>
    </w:p>
  </w:footnote>
  <w:footnote w:type="continuationSeparator" w:id="0">
    <w:p w14:paraId="4E260ADE" w14:textId="77777777" w:rsidR="009A495D" w:rsidRDefault="009A49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260AD5" w14:textId="77777777" w:rsidR="00464134" w:rsidRDefault="00464134">
    <w:pPr>
      <w:tabs>
        <w:tab w:val="left" w:pos="5430"/>
      </w:tabs>
      <w:rPr>
        <w:color w:val="FF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260ADA" w14:textId="77777777" w:rsidR="00464134" w:rsidRDefault="0046413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4522377"/>
    <w:multiLevelType w:val="multilevel"/>
    <w:tmpl w:val="A0C8BE2C"/>
    <w:lvl w:ilvl="0">
      <w:start w:val="1"/>
      <w:numFmt w:val="bullet"/>
      <w:lvlText w:val="●"/>
      <w:lvlJc w:val="left"/>
      <w:pPr>
        <w:ind w:left="720" w:hanging="360"/>
      </w:pPr>
      <w:rPr>
        <w:rFonts w:ascii="Arial" w:eastAsia="Arial" w:hAnsi="Arial" w:cs="Arial"/>
        <w:color w:val="498CBE"/>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673B7EB1"/>
    <w:multiLevelType w:val="multilevel"/>
    <w:tmpl w:val="1B20E0A4"/>
    <w:lvl w:ilvl="0">
      <w:start w:val="1"/>
      <w:numFmt w:val="bullet"/>
      <w:lvlText w:val="●"/>
      <w:lvlJc w:val="left"/>
      <w:pPr>
        <w:ind w:left="720" w:hanging="360"/>
      </w:pPr>
      <w:rPr>
        <w:color w:val="0070C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128086645">
    <w:abstractNumId w:val="0"/>
  </w:num>
  <w:num w:numId="2" w16cid:durableId="17654161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4134"/>
    <w:rsid w:val="00464134"/>
    <w:rsid w:val="004B4CAE"/>
    <w:rsid w:val="009A495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2609CF"/>
  <w15:docId w15:val="{999DF23B-FE79-4EA2-BA14-DC047879C0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1"/>
        <w:szCs w:val="21"/>
        <w:lang w:val="es-ES" w:eastAsia="es-CL"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widowControl w:val="0"/>
      <w:spacing w:after="0"/>
      <w:jc w:val="both"/>
      <w:outlineLvl w:val="0"/>
    </w:pPr>
    <w:rPr>
      <w:rFonts w:ascii="Nunito" w:eastAsia="Nunito" w:hAnsi="Nunito" w:cs="Nunito"/>
      <w:b/>
      <w:sz w:val="22"/>
      <w:szCs w:val="22"/>
      <w:u w:val="single"/>
    </w:rPr>
  </w:style>
  <w:style w:type="paragraph" w:styleId="Ttulo2">
    <w:name w:val="heading 2"/>
    <w:basedOn w:val="Normal"/>
    <w:next w:val="Normal"/>
    <w:uiPriority w:val="9"/>
    <w:semiHidden/>
    <w:unhideWhenUsed/>
    <w:qFormat/>
    <w:pPr>
      <w:widowControl w:val="0"/>
      <w:tabs>
        <w:tab w:val="left" w:pos="5393"/>
      </w:tabs>
      <w:spacing w:after="0"/>
      <w:outlineLvl w:val="1"/>
    </w:pPr>
    <w:rPr>
      <w:rFonts w:ascii="Montserrat" w:eastAsia="Montserrat" w:hAnsi="Montserrat" w:cs="Montserrat"/>
      <w:color w:val="0070C0"/>
      <w:sz w:val="28"/>
      <w:szCs w:val="28"/>
      <w:u w:val="single"/>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tabs>
        <w:tab w:val="left" w:pos="5393"/>
      </w:tabs>
      <w:spacing w:after="0"/>
    </w:pPr>
    <w:rPr>
      <w:rFonts w:ascii="Nunito" w:eastAsia="Nunito" w:hAnsi="Nunito" w:cs="Nunito"/>
      <w:color w:val="0070C0"/>
      <w:sz w:val="28"/>
      <w:szCs w:val="28"/>
    </w:rPr>
  </w:style>
  <w:style w:type="paragraph" w:styleId="Subttulo">
    <w:name w:val="Subtitle"/>
    <w:basedOn w:val="Normal"/>
    <w:next w:val="Normal"/>
    <w:uiPriority w:val="11"/>
    <w:qFormat/>
    <w:pPr>
      <w:keepNext/>
      <w:keepLines/>
      <w:tabs>
        <w:tab w:val="left" w:pos="5393"/>
      </w:tabs>
      <w:spacing w:after="0"/>
      <w:jc w:val="both"/>
    </w:pPr>
    <w:rPr>
      <w:rFonts w:ascii="Nunito" w:eastAsia="Nunito" w:hAnsi="Nunito" w:cs="Nunito"/>
      <w:i/>
      <w:sz w:val="22"/>
      <w:szCs w:val="22"/>
      <w:u w:val="single"/>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jp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image" Target="media/image12.jp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2.xml"/><Relationship Id="rId27" Type="http://schemas.openxmlformats.org/officeDocument/2006/relationships/image" Target="media/image13.png"/><Relationship Id="rId28" Type="http://schemas.openxmlformats.org/officeDocument/2006/relationships/image" Target="media/image14.png"/><Relationship Id="rId29" Type="http://schemas.openxmlformats.org/officeDocument/2006/relationships/image" Target="media/image15.png"/><Relationship Id="rId30" Type="http://schemas.openxmlformats.org/officeDocument/2006/relationships/image" Target="media/image16.png"/><Relationship Id="rId31" Type="http://schemas.openxmlformats.org/officeDocument/2006/relationships/image" Target="media/image17.png"/><Relationship Id="rId32" Type="http://schemas.openxmlformats.org/officeDocument/2006/relationships/image" Target="media/image18.png"/><Relationship Id="rId33" Type="http://schemas.openxmlformats.org/officeDocument/2006/relationships/image" Target="media/image19.png"/><Relationship Id="rId34" Type="http://schemas.openxmlformats.org/officeDocument/2006/relationships/image" Target="media/image20.png"/><Relationship Id="rId35" Type="http://schemas.openxmlformats.org/officeDocument/2006/relationships/image" Target="media/image21.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1y02b3cl0baJz2d8DAJA2OaqrsQ==">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336</Words>
  <Characters>1849</Characters>
  <Application>Microsoft Office Word</Application>
  <DocSecurity>0</DocSecurity>
  <Lines>15</Lines>
  <Paragraphs>4</Paragraphs>
  <ScaleCrop>false</ScaleCrop>
  <Company/>
  <LinksUpToDate>false</LinksUpToDate>
  <CharactersWithSpaces>2181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Anibal Aranda Alvarado</cp:lastModifiedBy>
  <cp:revision>2</cp:revision>
  <dcterms:created xsi:type="dcterms:W3CDTF">2026-04-10T19:53:00Z</dcterms:created>
  <dcterms:modified xsi:type="dcterms:W3CDTF">2026-04-10T19:53:00Z</dcterms:modified>
</cp:coreProperties>
</file>