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Borrador_auditoria_José_Luis_Araneda_000017-03_2026</w:t>
      </w:r>
    </w:p>
    <w:p>
      <w:pPr>
        <w:spacing w:after="80"/>
        <w:jc w:val="center"/>
      </w:pPr>
      <w:r>
        <w:rPr>
          <w:rFonts w:ascii="Calibri" w:hAnsi="Calibri"/>
          <w:b/>
          <w:color w:val="1F4788"/>
          <w:sz w:val="34"/>
        </w:rPr>
        <w:t>José Luis Araneda</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José Luis Araneda, punto de medición WES 000017-03 (José Luis Araneda),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3.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0</w:t>
            </w:r>
          </w:p>
        </w:tc>
        <w:tc>
          <w:tcPr>
            <w:tcW w:type="dxa" w:w="2362"/>
            <w:shd w:val="clear" w:fill="FFFFFF"/>
          </w:tcPr>
          <w:p>
            <w:pPr>
              <w:jc w:val="left"/>
            </w:pPr>
            <w:r>
              <w:rPr>
                <w:b w:val="0"/>
                <w:color w:val="000000"/>
              </w:rPr>
              <w:t>0</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0</w:t>
            </w:r>
          </w:p>
        </w:tc>
        <w:tc>
          <w:tcPr>
            <w:tcW w:type="dxa" w:w="2362"/>
            <w:shd w:val="clear" w:fill="FFFFFF"/>
          </w:tcPr>
          <w:p>
            <w:pPr>
              <w:jc w:val="left"/>
            </w:pPr>
            <w:r>
              <w:rPr>
                <w:b w:val="0"/>
                <w:color w:val="000000"/>
              </w:rPr>
              <w:t>0</w:t>
            </w:r>
          </w:p>
        </w:tc>
      </w:tr>
    </w:tbl>
    <w:p>
      <w:pPr>
        <w:spacing w:after="120"/>
      </w:pPr>
    </w:p>
    <w:p>
      <w:pPr>
        <w:keepNext w:val="0"/>
        <w:widowControl/>
        <w:jc w:val="both"/>
      </w:pPr>
      <w:r>
        <w:t>Métricas y serie horaria (jornada completa) exportadas: cpa_icco_renca_borrador_000017-03.csv.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000017-03.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3" name="Picture 3"/>
            <wp:cNvGraphicFramePr>
              <a:graphicFrameLocks noChangeAspect="1"/>
            </wp:cNvGraphicFramePr>
            <a:graphic>
              <a:graphicData uri="http://schemas.openxmlformats.org/drawingml/2006/picture">
                <pic:pic>
                  <pic:nvPicPr>
                    <pic:cNvPr id="0" name="cpa_icco_renca_wes_24h_martes_borrador_000017-03.png"/>
                    <pic:cNvPicPr/>
                  </pic:nvPicPr>
                  <pic:blipFill>
                    <a:blip r:embed="rId29"/>
                    <a:stretch>
                      <a:fillRect/>
                    </a:stretch>
                  </pic:blipFill>
                  <pic:spPr>
                    <a:xfrm>
                      <a:off x="0" y="0"/>
                      <a:ext cx="5486400" cy="2451853"/>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4" name="Picture 4"/>
            <wp:cNvGraphicFramePr>
              <a:graphicFrameLocks noChangeAspect="1"/>
            </wp:cNvGraphicFramePr>
            <a:graphic>
              <a:graphicData uri="http://schemas.openxmlformats.org/drawingml/2006/picture">
                <pic:pic>
                  <pic:nvPicPr>
                    <pic:cNvPr id="0" name="cpa_icco_renca_wes_24h_miercoles_borrador_000017-03.png"/>
                    <pic:cNvPicPr/>
                  </pic:nvPicPr>
                  <pic:blipFill>
                    <a:blip r:embed="rId30"/>
                    <a:stretch>
                      <a:fillRect/>
                    </a:stretch>
                  </pic:blipFill>
                  <pic:spPr>
                    <a:xfrm>
                      <a:off x="0" y="0"/>
                      <a:ext cx="5486400" cy="2451853"/>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000017-03.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6" name="Picture 6"/>
            <wp:cNvGraphicFramePr>
              <a:graphicFrameLocks noChangeAspect="1"/>
            </wp:cNvGraphicFramePr>
            <a:graphic>
              <a:graphicData uri="http://schemas.openxmlformats.org/drawingml/2006/picture">
                <pic:pic>
                  <pic:nvPicPr>
                    <pic:cNvPr id="0" name="cpa_icco_renca_wes_24h_viernes_borrador_000017-03.png"/>
                    <pic:cNvPicPr/>
                  </pic:nvPicPr>
                  <pic:blipFill>
                    <a:blip r:embed="rId32"/>
                    <a:stretch>
                      <a:fillRect/>
                    </a:stretch>
                  </pic:blipFill>
                  <pic:spPr>
                    <a:xfrm>
                      <a:off x="0" y="0"/>
                      <a:ext cx="5486400" cy="2451853"/>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7" name="Picture 7"/>
            <wp:cNvGraphicFramePr>
              <a:graphicFrameLocks noChangeAspect="1"/>
            </wp:cNvGraphicFramePr>
            <a:graphic>
              <a:graphicData uri="http://schemas.openxmlformats.org/drawingml/2006/picture">
                <pic:pic>
                  <pic:nvPicPr>
                    <pic:cNvPr id="0" name="cpa_icco_renca_wes_24h_sabado_borrador_000017-03.png"/>
                    <pic:cNvPicPr/>
                  </pic:nvPicPr>
                  <pic:blipFill>
                    <a:blip r:embed="rId33"/>
                    <a:stretch>
                      <a:fillRect/>
                    </a:stretch>
                  </pic:blipFill>
                  <pic:spPr>
                    <a:xfrm>
                      <a:off x="0" y="0"/>
                      <a:ext cx="5486400" cy="245185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8" name="Picture 8"/>
            <wp:cNvGraphicFramePr>
              <a:graphicFrameLocks noChangeAspect="1"/>
            </wp:cNvGraphicFramePr>
            <a:graphic>
              <a:graphicData uri="http://schemas.openxmlformats.org/drawingml/2006/picture">
                <pic:pic>
                  <pic:nvPicPr>
                    <pic:cNvPr id="0" name="cpa_icco_renca_wes_24h_domingo_borrador_000017-03.png"/>
                    <pic:cNvPicPr/>
                  </pic:nvPicPr>
                  <pic:blipFill>
                    <a:blip r:embed="rId34"/>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7 días homólogos (gráfico siguiente): Con WES 0 m³/día; Sin WES 0 m³/día; diferencia media 0 m³/día (0 % sobre el promedio con WES).</w:t>
      </w:r>
    </w:p>
    <w:p>
      <w:pPr>
        <w:widowControl/>
        <w:spacing w:after="60"/>
        <w:jc w:val="center"/>
      </w:pPr>
      <w:r>
        <w:drawing>
          <wp:inline xmlns:a="http://schemas.openxmlformats.org/drawingml/2006/main" xmlns:pic="http://schemas.openxmlformats.org/drawingml/2006/picture">
            <wp:extent cx="5486400" cy="2459420"/>
            <wp:docPr id="9" name="Picture 9"/>
            <wp:cNvGraphicFramePr>
              <a:graphicFrameLocks noChangeAspect="1"/>
            </wp:cNvGraphicFramePr>
            <a:graphic>
              <a:graphicData uri="http://schemas.openxmlformats.org/drawingml/2006/picture">
                <pic:pic>
                  <pic:nvPicPr>
                    <pic:cNvPr id="0" name="cpa_icco_renca_wes_24h_promedio_borrador_000017-03.png"/>
                    <pic:cNvPicPr/>
                  </pic:nvPicPr>
                  <pic:blipFill>
                    <a:blip r:embed="rId35"/>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0.00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0.00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Con WES 0 m³; Sin WES 0 m³ (7 días, 00:00–24:00). Detalle en Registros de consumos.</w:t>
      </w:r>
    </w:p>
    <w:p/>
    <w:p>
      <w:pPr>
        <w:jc w:val="center"/>
      </w:pPr>
      <w:r>
        <w:t>Ahorro sobre Sin WES: no aplica en este tramo.</w:t>
      </w:r>
    </w:p>
    <w:p/>
    <w:p>
      <w:pPr>
        <w:jc w:val="center"/>
      </w:pPr>
      <w:r>
        <w:rPr>
          <w:color w:val="646464"/>
          <w:sz w:val="18"/>
        </w:rPr>
        <w:t>Documento generado automáticamente — 05-05-2026 15:35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