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Renca — Post medidor (22–28 abr) vs Con WES (25–31 mayo 2026)</w:t>
      </w:r>
    </w:p>
    <w:p>
      <w:r>
        <w:t>Comparación para establecimientos Renca activos (excl. Rebeca Matte Bello, Juana Atala de Hirmas y José Luis Araneda 000017-03).</w:t>
        <w:br/>
        <w:br/>
        <w:t>El 21-04-2026 se reemplazó el medidor ultrasónico. Por eso la referencia de consumo **no** usa la auditoría del 6–12 abril (medidor anterior), sino la primera semana completa con el equipo nuevo:</w:t>
        <w:br/>
        <w:t>• Referencia: 22–28 abril 2026 (post medidor ultrasónico, desde 22-abr).</w:t>
        <w:br/>
        <w:t>• Operación Con WES: 25–31 mayo 2026 (Con WES — operación).</w:t>
        <w:br/>
        <w:br/>
        <w:t>Valorización del ahorro a $1.300 por m³.</w:t>
      </w:r>
    </w:p>
    <w:p>
      <w:r>
        <w:rPr>
          <w:b/>
        </w:rPr>
        <w:t xml:space="preserve">Generado: </w:t>
      </w:r>
      <w:r>
        <w:t>03-06-2026 21:57</w:t>
      </w:r>
    </w:p>
    <w:p>
      <w:pPr>
        <w:pStyle w:val="Heading1"/>
      </w:pPr>
      <w:r>
        <w:t>Metodología</w:t>
      </w:r>
    </w:p>
    <w:p>
      <w:r>
        <w:t>Referencia abr (m³): suma horaria API del 22 al 28 de abril de 2026 (7 días).</w:t>
        <w:br/>
        <w:br/>
        <w:t>Con WES mayo (m³): suma horaria API del 25 al 31 de mayo de 2026 (7 días).</w:t>
        <w:br/>
        <w:br/>
        <w:t>Ahorro (m³) = Referencia abr − Con WES mayo. Positivo: mayo consumió menos.</w:t>
        <w:br/>
        <w:br/>
        <w:t>% ahorro = Ahorro / Referencia abr × 100.</w:t>
        <w:br/>
        <w:br/>
        <w:t>Valor (CLP) = Ahorro (m³) × 1.300 $/m³.</w:t>
      </w:r>
    </w:p>
    <w:p>
      <w:pPr>
        <w:pStyle w:val="Heading1"/>
      </w:pPr>
      <w:r>
        <w:t>Resultados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Nodo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Establecimiento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Ref. 22–28 abr (m³)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 WES mayo (m³)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Ahorro (m³)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 ahorro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Valor @ 1.300 $/m³</w:t>
            </w:r>
          </w:p>
        </w:tc>
      </w:tr>
      <w:tr>
        <w:tc>
          <w:tcPr>
            <w:tcW w:type="dxa" w:w="1234"/>
          </w:tcPr>
          <w:p>
            <w:r>
              <w:t>000017-04</w:t>
            </w:r>
          </w:p>
        </w:tc>
        <w:tc>
          <w:tcPr>
            <w:tcW w:type="dxa" w:w="1234"/>
          </w:tcPr>
          <w:p>
            <w:r>
              <w:t>Esc. Lo Velásquez</w:t>
            </w:r>
          </w:p>
        </w:tc>
        <w:tc>
          <w:tcPr>
            <w:tcW w:type="dxa" w:w="1234"/>
          </w:tcPr>
          <w:p>
            <w:r>
              <w:t>26,1</w:t>
            </w:r>
          </w:p>
        </w:tc>
        <w:tc>
          <w:tcPr>
            <w:tcW w:type="dxa" w:w="1234"/>
          </w:tcPr>
          <w:p>
            <w:r>
              <w:t>34,1</w:t>
            </w:r>
          </w:p>
        </w:tc>
        <w:tc>
          <w:tcPr>
            <w:tcW w:type="dxa" w:w="1234"/>
          </w:tcPr>
          <w:p>
            <w:r>
              <w:t>-7,9</w:t>
            </w:r>
          </w:p>
        </w:tc>
        <w:tc>
          <w:tcPr>
            <w:tcW w:type="dxa" w:w="1234"/>
          </w:tcPr>
          <w:p>
            <w:r>
              <w:t>-30,3 %</w:t>
            </w:r>
          </w:p>
        </w:tc>
        <w:tc>
          <w:tcPr>
            <w:tcW w:type="dxa" w:w="1234"/>
          </w:tcPr>
          <w:p>
            <w:r>
              <w:t>$-10.309</w:t>
            </w:r>
          </w:p>
        </w:tc>
      </w:tr>
      <w:tr>
        <w:tc>
          <w:tcPr>
            <w:tcW w:type="dxa" w:w="1234"/>
          </w:tcPr>
          <w:p>
            <w:r>
              <w:t>000017-05</w:t>
            </w:r>
          </w:p>
        </w:tc>
        <w:tc>
          <w:tcPr>
            <w:tcW w:type="dxa" w:w="1234"/>
          </w:tcPr>
          <w:p>
            <w:r>
              <w:t>Gimnasio</w:t>
            </w:r>
          </w:p>
        </w:tc>
        <w:tc>
          <w:tcPr>
            <w:tcW w:type="dxa" w:w="1234"/>
          </w:tcPr>
          <w:p>
            <w:r>
              <w:t>23,8</w:t>
            </w:r>
          </w:p>
        </w:tc>
        <w:tc>
          <w:tcPr>
            <w:tcW w:type="dxa" w:w="1234"/>
          </w:tcPr>
          <w:p>
            <w:r>
              <w:t>16,4</w:t>
            </w:r>
          </w:p>
        </w:tc>
        <w:tc>
          <w:tcPr>
            <w:tcW w:type="dxa" w:w="1234"/>
          </w:tcPr>
          <w:p>
            <w:r>
              <w:t>7,4</w:t>
            </w:r>
          </w:p>
        </w:tc>
        <w:tc>
          <w:tcPr>
            <w:tcW w:type="dxa" w:w="1234"/>
          </w:tcPr>
          <w:p>
            <w:r>
              <w:t>31 %</w:t>
            </w:r>
          </w:p>
        </w:tc>
        <w:tc>
          <w:tcPr>
            <w:tcW w:type="dxa" w:w="1234"/>
          </w:tcPr>
          <w:p>
            <w:r>
              <w:t>$9.581</w:t>
            </w:r>
          </w:p>
        </w:tc>
      </w:tr>
      <w:tr>
        <w:tc>
          <w:tcPr>
            <w:tcW w:type="dxa" w:w="1234"/>
          </w:tcPr>
          <w:p>
            <w:r>
              <w:t>000017-06</w:t>
            </w:r>
          </w:p>
        </w:tc>
        <w:tc>
          <w:tcPr>
            <w:tcW w:type="dxa" w:w="1234"/>
          </w:tcPr>
          <w:p>
            <w:r>
              <w:t>Piscina Municipal</w:t>
            </w:r>
          </w:p>
        </w:tc>
        <w:tc>
          <w:tcPr>
            <w:tcW w:type="dxa" w:w="1234"/>
          </w:tcPr>
          <w:p>
            <w:r>
              <w:t>285,8</w:t>
            </w:r>
          </w:p>
        </w:tc>
        <w:tc>
          <w:tcPr>
            <w:tcW w:type="dxa" w:w="1234"/>
          </w:tcPr>
          <w:p>
            <w:r>
              <w:t>388,6</w:t>
            </w:r>
          </w:p>
        </w:tc>
        <w:tc>
          <w:tcPr>
            <w:tcW w:type="dxa" w:w="1234"/>
          </w:tcPr>
          <w:p>
            <w:r>
              <w:t>-102,8</w:t>
            </w:r>
          </w:p>
        </w:tc>
        <w:tc>
          <w:tcPr>
            <w:tcW w:type="dxa" w:w="1234"/>
          </w:tcPr>
          <w:p>
            <w:r>
              <w:t>-36 %</w:t>
            </w:r>
          </w:p>
        </w:tc>
        <w:tc>
          <w:tcPr>
            <w:tcW w:type="dxa" w:w="1234"/>
          </w:tcPr>
          <w:p>
            <w:r>
              <w:t>$-133.692</w:t>
            </w:r>
          </w:p>
        </w:tc>
      </w:tr>
      <w:tr>
        <w:tc>
          <w:tcPr>
            <w:tcW w:type="dxa" w:w="1234"/>
          </w:tcPr>
          <w:p>
            <w:r>
              <w:t>000017-07</w:t>
            </w:r>
          </w:p>
        </w:tc>
        <w:tc>
          <w:tcPr>
            <w:tcW w:type="dxa" w:w="1234"/>
          </w:tcPr>
          <w:p>
            <w:r>
              <w:t>Cumbre de cóndores pte.</w:t>
            </w:r>
          </w:p>
        </w:tc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66,9</w:t>
            </w:r>
          </w:p>
        </w:tc>
        <w:tc>
          <w:tcPr>
            <w:tcW w:type="dxa" w:w="1234"/>
          </w:tcPr>
          <w:p>
            <w:r>
              <w:t>-9,9</w:t>
            </w:r>
          </w:p>
        </w:tc>
        <w:tc>
          <w:tcPr>
            <w:tcW w:type="dxa" w:w="1234"/>
          </w:tcPr>
          <w:p>
            <w:r>
              <w:t>-17,4 %</w:t>
            </w:r>
          </w:p>
        </w:tc>
        <w:tc>
          <w:tcPr>
            <w:tcW w:type="dxa" w:w="1234"/>
          </w:tcPr>
          <w:p>
            <w:r>
              <w:t>$-12.870</w:t>
            </w:r>
          </w:p>
        </w:tc>
      </w:tr>
      <w:tr>
        <w:tc>
          <w:tcPr>
            <w:tcW w:type="dxa" w:w="1234"/>
          </w:tcPr>
          <w:p>
            <w:r>
              <w:t>000017-08</w:t>
            </w:r>
          </w:p>
        </w:tc>
        <w:tc>
          <w:tcPr>
            <w:tcW w:type="dxa" w:w="1234"/>
          </w:tcPr>
          <w:p>
            <w:r>
              <w:t>Colegio ICCO Renca</w:t>
            </w:r>
          </w:p>
        </w:tc>
        <w:tc>
          <w:tcPr>
            <w:tcW w:type="dxa" w:w="1234"/>
          </w:tcPr>
          <w:p>
            <w:r>
              <w:t>175,5</w:t>
            </w:r>
          </w:p>
        </w:tc>
        <w:tc>
          <w:tcPr>
            <w:tcW w:type="dxa" w:w="1234"/>
          </w:tcPr>
          <w:p>
            <w:r>
              <w:t>211,6</w:t>
            </w:r>
          </w:p>
        </w:tc>
        <w:tc>
          <w:tcPr>
            <w:tcW w:type="dxa" w:w="1234"/>
          </w:tcPr>
          <w:p>
            <w:r>
              <w:t>-36,1</w:t>
            </w:r>
          </w:p>
        </w:tc>
        <w:tc>
          <w:tcPr>
            <w:tcW w:type="dxa" w:w="1234"/>
          </w:tcPr>
          <w:p>
            <w:r>
              <w:t>-20,6 %</w:t>
            </w:r>
          </w:p>
        </w:tc>
        <w:tc>
          <w:tcPr>
            <w:tcW w:type="dxa" w:w="1234"/>
          </w:tcPr>
          <w:p>
            <w:r>
              <w:t>$-46.930</w:t>
            </w:r>
          </w:p>
        </w:tc>
      </w:tr>
    </w:tbl>
    <w:p/>
    <w:p>
      <w:pPr>
        <w:pStyle w:val="Heading1"/>
      </w:pPr>
      <w:r>
        <w:t>Totales agregados</w:t>
      </w:r>
    </w:p>
    <w:p>
      <w:r>
        <w:t>• Puntos incluidos: 5</w:t>
        <w:br/>
        <w:t>• Referencia 22–28 abr (suma): 568,2 m³</w:t>
        <w:br/>
        <w:t>• Con WES mayo (suma): 717,6 m³</w:t>
        <w:br/>
        <w:t>• Ahorro agregado: -149,4 m³ (-26,3 % ahorro)</w:t>
        <w:br/>
        <w:t>• Valor agregado: $-194.220</w:t>
      </w:r>
    </w:p>
    <w:p/>
    <w:p>
      <w:r>
        <w:drawing>
          <wp:inline xmlns:a="http://schemas.openxmlformats.org/drawingml/2006/main" xmlns:pic="http://schemas.openxmlformats.org/drawingml/2006/picture">
            <wp:extent cx="5760000" cy="2869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ras_post22abr_vs_may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9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Detalle por establecimiento</w:t>
      </w:r>
    </w:p>
    <w:p>
      <w:r>
        <w:t>• Esc. Lo Velásquez (000017-04): ref. abr 26,1 m³ → mayo 34,1 m³ | ahorro -7,9 m³ (-30,3 %) | valor $-10.309.</w:t>
      </w:r>
    </w:p>
    <w:p>
      <w:r>
        <w:t>• Gimnasio (000017-05): ref. abr 23,8 m³ → mayo 16,4 m³ | ahorro 7,4 m³ (31 %) | valor $9.581.</w:t>
      </w:r>
    </w:p>
    <w:p>
      <w:r>
        <w:t>• Piscina Municipal (000017-06): ref. abr 285,8 m³ → mayo 388,6 m³ | ahorro -102,8 m³ (-36 %) | valor $-133.692.</w:t>
      </w:r>
    </w:p>
    <w:p>
      <w:r>
        <w:t>• Cumbre de cóndores pte. (000017-07): ref. abr 57 m³ → mayo 66,9 m³ | ahorro -9,9 m³ (-17,4 %) | valor $-12.870.</w:t>
      </w:r>
    </w:p>
    <w:p>
      <w:r>
        <w:t>• Colegio ICCO Renca (000017-08): ref. abr 175,5 m³ → mayo 211,6 m³ | ahorro -36,1 m³ (-20,6 %) | valor $-46.930.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