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Comparación Sin WES (auditoría) vs semana 25–31 mayo 2026</w:t>
      </w:r>
    </w:p>
    <w:p>
      <w:r>
        <w:t>Se incluyen únicamente los establecimientos Renca cuya auditoría de abril 2026 mostró rendimiento positivo (% ahorro con WES respecto de la semana sin control). Referencia sin WES: 6–12 abril 2026. Semana con WES en auditoría: 13–19 abril 2026. Periodo operativo comparado: 25–31 mayo 2026 (serie horaria API WES, 24 h/día).</w:t>
      </w:r>
    </w:p>
    <w:p>
      <w:r>
        <w:rPr>
          <w:b/>
        </w:rPr>
        <w:t xml:space="preserve">Generado: </w:t>
      </w:r>
      <w:r>
        <w:t>03-06-2026 17:37</w:t>
      </w:r>
    </w:p>
    <w:p>
      <w:pPr>
        <w:pStyle w:val="Heading1"/>
      </w:pPr>
      <w:r>
        <w:t>Metodología</w:t>
      </w:r>
    </w:p>
    <w:p>
      <w:r>
        <w:t>• Rendimiento auditoría = (Sin WES − Con WES) / Sin WES × 100. Positivo: menor consumo con control WES.</w:t>
        <w:br/>
        <w:t>• Consumo Sin WES auditoría: Excel consolidado de cada auditoría (rejilla m³/h).</w:t>
        <w:br/>
        <w:t>• Semana mayo 2026: suma de consumo horario 25/05–31/05 desde API (misma lógica CPA).</w:t>
        <w:br/>
        <w:t>• % mayo vs Sin WES = (Sin WES audit. − Mayo) / Sin WES audit. × 100. Positivo: mayo por debajo del sin control histórico.</w:t>
      </w:r>
    </w:p>
    <w:p>
      <w:pPr>
        <w:pStyle w:val="Heading1"/>
      </w:pPr>
      <w:r>
        <w:t>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Nodo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Establecimiento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Sin WES audit. (m³)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 WES audit. (m³)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% rend. audit.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Mayo 25–31 (m³)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vs Sin WES (m³)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% vs Sin WES</w:t>
            </w:r>
          </w:p>
        </w:tc>
      </w:tr>
      <w:tr>
        <w:tc>
          <w:tcPr>
            <w:tcW w:type="dxa" w:w="1080"/>
          </w:tcPr>
          <w:p>
            <w:r>
              <w:t>000017-08</w:t>
            </w:r>
          </w:p>
        </w:tc>
        <w:tc>
          <w:tcPr>
            <w:tcW w:type="dxa" w:w="1080"/>
          </w:tcPr>
          <w:p>
            <w:r>
              <w:t>Colegio ICCO Renca</w:t>
            </w:r>
          </w:p>
        </w:tc>
        <w:tc>
          <w:tcPr>
            <w:tcW w:type="dxa" w:w="1080"/>
          </w:tcPr>
          <w:p>
            <w:r>
              <w:t>341,8</w:t>
            </w:r>
          </w:p>
        </w:tc>
        <w:tc>
          <w:tcPr>
            <w:tcW w:type="dxa" w:w="1080"/>
          </w:tcPr>
          <w:p>
            <w:r>
              <w:t>214,8</w:t>
            </w:r>
          </w:p>
        </w:tc>
        <w:tc>
          <w:tcPr>
            <w:tcW w:type="dxa" w:w="1080"/>
          </w:tcPr>
          <w:p>
            <w:r>
              <w:t>37,2 %</w:t>
            </w:r>
          </w:p>
        </w:tc>
        <w:tc>
          <w:tcPr>
            <w:tcW w:type="dxa" w:w="1080"/>
          </w:tcPr>
          <w:p>
            <w:r>
              <w:t>211,6</w:t>
            </w:r>
          </w:p>
        </w:tc>
        <w:tc>
          <w:tcPr>
            <w:tcW w:type="dxa" w:w="1080"/>
          </w:tcPr>
          <w:p>
            <w:r>
              <w:t>-130,2</w:t>
            </w:r>
          </w:p>
        </w:tc>
        <w:tc>
          <w:tcPr>
            <w:tcW w:type="dxa" w:w="1080"/>
          </w:tcPr>
          <w:p>
            <w:r>
              <w:t>38,1 %</w:t>
            </w:r>
          </w:p>
        </w:tc>
      </w:tr>
      <w:tr>
        <w:tc>
          <w:tcPr>
            <w:tcW w:type="dxa" w:w="1080"/>
          </w:tcPr>
          <w:p>
            <w:r>
              <w:t>000017-04</w:t>
            </w:r>
          </w:p>
        </w:tc>
        <w:tc>
          <w:tcPr>
            <w:tcW w:type="dxa" w:w="1080"/>
          </w:tcPr>
          <w:p>
            <w:r>
              <w:t>Esc. Lo Velásquez</w:t>
            </w:r>
          </w:p>
        </w:tc>
        <w:tc>
          <w:tcPr>
            <w:tcW w:type="dxa" w:w="1080"/>
          </w:tcPr>
          <w:p>
            <w:r>
              <w:t>36,7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10,1 %</w:t>
            </w:r>
          </w:p>
        </w:tc>
        <w:tc>
          <w:tcPr>
            <w:tcW w:type="dxa" w:w="1080"/>
          </w:tcPr>
          <w:p>
            <w:r>
              <w:t>34,1</w:t>
            </w:r>
          </w:p>
        </w:tc>
        <w:tc>
          <w:tcPr>
            <w:tcW w:type="dxa" w:w="1080"/>
          </w:tcPr>
          <w:p>
            <w:r>
              <w:t>-2,6</w:t>
            </w:r>
          </w:p>
        </w:tc>
        <w:tc>
          <w:tcPr>
            <w:tcW w:type="dxa" w:w="1080"/>
          </w:tcPr>
          <w:p>
            <w:r>
              <w:t>7,2 %</w:t>
            </w:r>
          </w:p>
        </w:tc>
      </w:tr>
      <w:tr>
        <w:tc>
          <w:tcPr>
            <w:tcW w:type="dxa" w:w="1080"/>
          </w:tcPr>
          <w:p>
            <w:r>
              <w:t>000017-06</w:t>
            </w:r>
          </w:p>
        </w:tc>
        <w:tc>
          <w:tcPr>
            <w:tcW w:type="dxa" w:w="1080"/>
          </w:tcPr>
          <w:p>
            <w:r>
              <w:t>Piscina Municipal</w:t>
            </w:r>
          </w:p>
        </w:tc>
        <w:tc>
          <w:tcPr>
            <w:tcW w:type="dxa" w:w="1080"/>
          </w:tcPr>
          <w:p>
            <w:r>
              <w:t>698,7</w:t>
            </w:r>
          </w:p>
        </w:tc>
        <w:tc>
          <w:tcPr>
            <w:tcW w:type="dxa" w:w="1080"/>
          </w:tcPr>
          <w:p>
            <w:r>
              <w:t>297,8</w:t>
            </w:r>
          </w:p>
        </w:tc>
        <w:tc>
          <w:tcPr>
            <w:tcW w:type="dxa" w:w="1080"/>
          </w:tcPr>
          <w:p>
            <w:r>
              <w:t>57,4 %</w:t>
            </w:r>
          </w:p>
        </w:tc>
        <w:tc>
          <w:tcPr>
            <w:tcW w:type="dxa" w:w="1080"/>
          </w:tcPr>
          <w:p>
            <w:r>
              <w:t>388,6</w:t>
            </w:r>
          </w:p>
        </w:tc>
        <w:tc>
          <w:tcPr>
            <w:tcW w:type="dxa" w:w="1080"/>
          </w:tcPr>
          <w:p>
            <w:r>
              <w:t>-310,1</w:t>
            </w:r>
          </w:p>
        </w:tc>
        <w:tc>
          <w:tcPr>
            <w:tcW w:type="dxa" w:w="1080"/>
          </w:tcPr>
          <w:p>
            <w:r>
              <w:t>44,4 %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864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sin_wes_vs_may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Conclusiones</w:t>
      </w:r>
    </w:p>
    <w:p>
      <w:r>
        <w:t>De 3 punto(s) con rendimiento positivo en auditoría, 3 registraron en mayo un consumo inferior al Sin WES de referencia y 0 igual o superior.</w:t>
      </w:r>
    </w:p>
    <w:p>
      <w:r>
        <w:t>• Colegio ICCO Renca: mayo 211,6 m³ vs Sin WES 341,8 m³ (38,1 % vs referencia sin control).</w:t>
      </w:r>
    </w:p>
    <w:p>
      <w:r>
        <w:t>• Esc. Lo Velásquez: mayo 34,1 m³ vs Sin WES 36,7 m³ (7,2 % vs referencia sin control).</w:t>
      </w:r>
    </w:p>
    <w:p>
      <w:r>
        <w:t>• Piscina Municipal: mayo 388,6 m³ vs Sin WES 698,7 m³ (44,4 % vs referencia sin 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