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788"/>
        </w:rPr>
        <w:t>Informe técnico — Gimnasio Renca (000017-05)</w:t>
      </w:r>
    </w:p>
    <w:p>
      <w:r>
        <w:t>Establecimiento: Gimnasio municipal Renca. Nodo WES: 000017-05.</w:t>
        <w:br/>
        <w:t>Generado: 03-06-2026 22:15.</w:t>
      </w:r>
    </w:p>
    <w:p>
      <w:pPr>
        <w:pStyle w:val="Heading1"/>
      </w:pPr>
      <w:r>
        <w:t>1. Contexto</w:t>
      </w:r>
    </w:p>
    <w:p>
      <w:r>
        <w:t>• El 21-04-2026 se reemplazó el medidor ultrasónico. Los datos desde el 22-abr-2026 corresponden al equipo nuevo.</w:t>
        <w:br/>
        <w:t>• Instalación referida: tubería de 2" PVC. Caudal horario de referencia para esa sección (~1,5 m/s): ≈ 11,5 m³/h. Valores muy por encima de ese orden en una hora sostenida son físicamente improbables en una red de 2" y sugieren error de medición (medidor anterior) o evento no hidráulico.</w:t>
        <w:br/>
        <w:t>• Del 08-05-2026 al 12-05-2026 no hay registro de consumo porque se bajó la energía del equipo WES/medición (corte planificado).</w:t>
      </w:r>
    </w:p>
    <w:p>
      <w:pPr>
        <w:pStyle w:val="Heading1"/>
      </w:pPr>
      <w:r>
        <w:t>2. Periodo medidor anterior (25-dic-2025 a 21-abr-2026)</w:t>
      </w:r>
    </w:p>
    <w:p>
      <w:r>
        <w:t>Días analizados: 118. Consumo acumulado API: 8.820,8 m³ (promedio 74,75 m³/día).</w:t>
        <w:br/>
        <w:t>Se identificaron 46 día(s) con picos horarios &gt; 11,5 m³/h o consumo diario &gt; 80 m³ / pico &gt; 25 m³/h (criterio de consumo irrisorio para 2" PVC).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 día (m³)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Máx hora (m³/h)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Observación</w:t>
            </w:r>
          </w:p>
        </w:tc>
      </w:tr>
      <w:tr>
        <w:tc>
          <w:tcPr>
            <w:tcW w:type="dxa" w:w="2160"/>
          </w:tcPr>
          <w:p>
            <w:r>
              <w:t>30-03-2026</w:t>
            </w:r>
          </w:p>
        </w:tc>
        <w:tc>
          <w:tcPr>
            <w:tcW w:type="dxa" w:w="2160"/>
          </w:tcPr>
          <w:p>
            <w:r>
              <w:t>972,26</w:t>
            </w:r>
          </w:p>
        </w:tc>
        <w:tc>
          <w:tcPr>
            <w:tcW w:type="dxa" w:w="2160"/>
          </w:tcPr>
          <w:p>
            <w:r>
              <w:t>397,55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24-02-2026</w:t>
            </w:r>
          </w:p>
        </w:tc>
        <w:tc>
          <w:tcPr>
            <w:tcW w:type="dxa" w:w="2160"/>
          </w:tcPr>
          <w:p>
            <w:r>
              <w:t>458,6</w:t>
            </w:r>
          </w:p>
        </w:tc>
        <w:tc>
          <w:tcPr>
            <w:tcW w:type="dxa" w:w="2160"/>
          </w:tcPr>
          <w:p>
            <w:r>
              <w:t>286,29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14-02-2026</w:t>
            </w:r>
          </w:p>
        </w:tc>
        <w:tc>
          <w:tcPr>
            <w:tcW w:type="dxa" w:w="2160"/>
          </w:tcPr>
          <w:p>
            <w:r>
              <w:t>231,28</w:t>
            </w:r>
          </w:p>
        </w:tc>
        <w:tc>
          <w:tcPr>
            <w:tcW w:type="dxa" w:w="2160"/>
          </w:tcPr>
          <w:p>
            <w:r>
              <w:t>176,54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27-02-2026</w:t>
            </w:r>
          </w:p>
        </w:tc>
        <w:tc>
          <w:tcPr>
            <w:tcW w:type="dxa" w:w="2160"/>
          </w:tcPr>
          <w:p>
            <w:r>
              <w:t>199,8</w:t>
            </w:r>
          </w:p>
        </w:tc>
        <w:tc>
          <w:tcPr>
            <w:tcW w:type="dxa" w:w="2160"/>
          </w:tcPr>
          <w:p>
            <w:r>
              <w:t>167,92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19-04-2026</w:t>
            </w:r>
          </w:p>
        </w:tc>
        <w:tc>
          <w:tcPr>
            <w:tcW w:type="dxa" w:w="2160"/>
          </w:tcPr>
          <w:p>
            <w:r>
              <w:t>781,05</w:t>
            </w:r>
          </w:p>
        </w:tc>
        <w:tc>
          <w:tcPr>
            <w:tcW w:type="dxa" w:w="2160"/>
          </w:tcPr>
          <w:p>
            <w:r>
              <w:t>130,76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18-04-2026</w:t>
            </w:r>
          </w:p>
        </w:tc>
        <w:tc>
          <w:tcPr>
            <w:tcW w:type="dxa" w:w="2160"/>
          </w:tcPr>
          <w:p>
            <w:r>
              <w:t>2.045,76</w:t>
            </w:r>
          </w:p>
        </w:tc>
        <w:tc>
          <w:tcPr>
            <w:tcW w:type="dxa" w:w="2160"/>
          </w:tcPr>
          <w:p>
            <w:r>
              <w:t>95,45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09-04-2026</w:t>
            </w:r>
          </w:p>
        </w:tc>
        <w:tc>
          <w:tcPr>
            <w:tcW w:type="dxa" w:w="2160"/>
          </w:tcPr>
          <w:p>
            <w:r>
              <w:t>304,57</w:t>
            </w:r>
          </w:p>
        </w:tc>
        <w:tc>
          <w:tcPr>
            <w:tcW w:type="dxa" w:w="2160"/>
          </w:tcPr>
          <w:p>
            <w:r>
              <w:t>80,97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29-03-2026</w:t>
            </w:r>
          </w:p>
        </w:tc>
        <w:tc>
          <w:tcPr>
            <w:tcW w:type="dxa" w:w="2160"/>
          </w:tcPr>
          <w:p>
            <w:r>
              <w:t>365,9</w:t>
            </w:r>
          </w:p>
        </w:tc>
        <w:tc>
          <w:tcPr>
            <w:tcW w:type="dxa" w:w="2160"/>
          </w:tcPr>
          <w:p>
            <w:r>
              <w:t>74,35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07-03-2026</w:t>
            </w:r>
          </w:p>
        </w:tc>
        <w:tc>
          <w:tcPr>
            <w:tcW w:type="dxa" w:w="2160"/>
          </w:tcPr>
          <w:p>
            <w:r>
              <w:t>77,66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07-02-2026</w:t>
            </w:r>
          </w:p>
        </w:tc>
        <w:tc>
          <w:tcPr>
            <w:tcW w:type="dxa" w:w="2160"/>
          </w:tcPr>
          <w:p>
            <w:r>
              <w:t>78,74</w:t>
            </w:r>
          </w:p>
        </w:tc>
        <w:tc>
          <w:tcPr>
            <w:tcW w:type="dxa" w:w="2160"/>
          </w:tcPr>
          <w:p>
            <w:r>
              <w:t>69,68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12-02-2026</w:t>
            </w:r>
          </w:p>
        </w:tc>
        <w:tc>
          <w:tcPr>
            <w:tcW w:type="dxa" w:w="2160"/>
          </w:tcPr>
          <w:p>
            <w:r>
              <w:t>110,48</w:t>
            </w:r>
          </w:p>
        </w:tc>
        <w:tc>
          <w:tcPr>
            <w:tcW w:type="dxa" w:w="2160"/>
          </w:tcPr>
          <w:p>
            <w:r>
              <w:t>69,06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02-03-2026</w:t>
            </w:r>
          </w:p>
        </w:tc>
        <w:tc>
          <w:tcPr>
            <w:tcW w:type="dxa" w:w="2160"/>
          </w:tcPr>
          <w:p>
            <w:r>
              <w:t>133,28</w:t>
            </w:r>
          </w:p>
        </w:tc>
        <w:tc>
          <w:tcPr>
            <w:tcW w:type="dxa" w:w="2160"/>
          </w:tcPr>
          <w:p>
            <w:r>
              <w:t>67,94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03-02-2026</w:t>
            </w:r>
          </w:p>
        </w:tc>
        <w:tc>
          <w:tcPr>
            <w:tcW w:type="dxa" w:w="2160"/>
          </w:tcPr>
          <w:p>
            <w:r>
              <w:t>97,48</w:t>
            </w:r>
          </w:p>
        </w:tc>
        <w:tc>
          <w:tcPr>
            <w:tcW w:type="dxa" w:w="2160"/>
          </w:tcPr>
          <w:p>
            <w:r>
              <w:t>67,87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14-04-2026</w:t>
            </w:r>
          </w:p>
        </w:tc>
        <w:tc>
          <w:tcPr>
            <w:tcW w:type="dxa" w:w="2160"/>
          </w:tcPr>
          <w:p>
            <w:r>
              <w:t>67,8</w:t>
            </w:r>
          </w:p>
        </w:tc>
        <w:tc>
          <w:tcPr>
            <w:tcW w:type="dxa" w:w="2160"/>
          </w:tcPr>
          <w:p>
            <w:r>
              <w:t>49,16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12-03-2026</w:t>
            </w:r>
          </w:p>
        </w:tc>
        <w:tc>
          <w:tcPr>
            <w:tcW w:type="dxa" w:w="2160"/>
          </w:tcPr>
          <w:p>
            <w:r>
              <w:t>103,76</w:t>
            </w:r>
          </w:p>
        </w:tc>
        <w:tc>
          <w:tcPr>
            <w:tcW w:type="dxa" w:w="2160"/>
          </w:tcPr>
          <w:p>
            <w:r>
              <w:t>46,34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05-04-2026</w:t>
            </w:r>
          </w:p>
        </w:tc>
        <w:tc>
          <w:tcPr>
            <w:tcW w:type="dxa" w:w="2160"/>
          </w:tcPr>
          <w:p>
            <w:r>
              <w:t>129,22</w:t>
            </w:r>
          </w:p>
        </w:tc>
        <w:tc>
          <w:tcPr>
            <w:tcW w:type="dxa" w:w="2160"/>
          </w:tcPr>
          <w:p>
            <w:r>
              <w:t>45,78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08-03-2026</w:t>
            </w:r>
          </w:p>
        </w:tc>
        <w:tc>
          <w:tcPr>
            <w:tcW w:type="dxa" w:w="2160"/>
          </w:tcPr>
          <w:p>
            <w:r>
              <w:t>50,46</w:t>
            </w:r>
          </w:p>
        </w:tc>
        <w:tc>
          <w:tcPr>
            <w:tcW w:type="dxa" w:w="2160"/>
          </w:tcPr>
          <w:p>
            <w:r>
              <w:t>45,22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03-01-2026</w:t>
            </w:r>
          </w:p>
        </w:tc>
        <w:tc>
          <w:tcPr>
            <w:tcW w:type="dxa" w:w="2160"/>
          </w:tcPr>
          <w:p>
            <w:r>
              <w:t>46,86</w:t>
            </w:r>
          </w:p>
        </w:tc>
        <w:tc>
          <w:tcPr>
            <w:tcW w:type="dxa" w:w="2160"/>
          </w:tcPr>
          <w:p>
            <w:r>
              <w:t>42,08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31-01-2026</w:t>
            </w:r>
          </w:p>
        </w:tc>
        <w:tc>
          <w:tcPr>
            <w:tcW w:type="dxa" w:w="2160"/>
          </w:tcPr>
          <w:p>
            <w:r>
              <w:t>82,7</w:t>
            </w:r>
          </w:p>
        </w:tc>
        <w:tc>
          <w:tcPr>
            <w:tcW w:type="dxa" w:w="2160"/>
          </w:tcPr>
          <w:p>
            <w:r>
              <w:t>39,2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23-03-2026</w:t>
            </w:r>
          </w:p>
        </w:tc>
        <w:tc>
          <w:tcPr>
            <w:tcW w:type="dxa" w:w="2160"/>
          </w:tcPr>
          <w:p>
            <w:r>
              <w:t>69,68</w:t>
            </w:r>
          </w:p>
        </w:tc>
        <w:tc>
          <w:tcPr>
            <w:tcW w:type="dxa" w:w="2160"/>
          </w:tcPr>
          <w:p>
            <w:r>
              <w:t>39,14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28-02-2026</w:t>
            </w:r>
          </w:p>
        </w:tc>
        <w:tc>
          <w:tcPr>
            <w:tcW w:type="dxa" w:w="2160"/>
          </w:tcPr>
          <w:p>
            <w:r>
              <w:t>51,88</w:t>
            </w:r>
          </w:p>
        </w:tc>
        <w:tc>
          <w:tcPr>
            <w:tcW w:type="dxa" w:w="2160"/>
          </w:tcPr>
          <w:p>
            <w:r>
              <w:t>34,06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30-12-2025</w:t>
            </w:r>
          </w:p>
        </w:tc>
        <w:tc>
          <w:tcPr>
            <w:tcW w:type="dxa" w:w="2160"/>
          </w:tcPr>
          <w:p>
            <w:r>
              <w:t>59,38</w:t>
            </w:r>
          </w:p>
        </w:tc>
        <w:tc>
          <w:tcPr>
            <w:tcW w:type="dxa" w:w="2160"/>
          </w:tcPr>
          <w:p>
            <w:r>
              <w:t>33,22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10-03-2026</w:t>
            </w:r>
          </w:p>
        </w:tc>
        <w:tc>
          <w:tcPr>
            <w:tcW w:type="dxa" w:w="2160"/>
          </w:tcPr>
          <w:p>
            <w:r>
              <w:t>49,54</w:t>
            </w:r>
          </w:p>
        </w:tc>
        <w:tc>
          <w:tcPr>
            <w:tcW w:type="dxa" w:w="2160"/>
          </w:tcPr>
          <w:p>
            <w:r>
              <w:t>30,16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06-02-2026</w:t>
            </w:r>
          </w:p>
        </w:tc>
        <w:tc>
          <w:tcPr>
            <w:tcW w:type="dxa" w:w="2160"/>
          </w:tcPr>
          <w:p>
            <w:r>
              <w:t>40,96</w:t>
            </w:r>
          </w:p>
        </w:tc>
        <w:tc>
          <w:tcPr>
            <w:tcW w:type="dxa" w:w="2160"/>
          </w:tcPr>
          <w:p>
            <w:r>
              <w:t>29,66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  <w:tr>
        <w:tc>
          <w:tcPr>
            <w:tcW w:type="dxa" w:w="2160"/>
          </w:tcPr>
          <w:p>
            <w:r>
              <w:t>08-04-2026</w:t>
            </w:r>
          </w:p>
        </w:tc>
        <w:tc>
          <w:tcPr>
            <w:tcW w:type="dxa" w:w="2160"/>
          </w:tcPr>
          <w:p>
            <w:r>
              <w:t>36,84</w:t>
            </w:r>
          </w:p>
        </w:tc>
        <w:tc>
          <w:tcPr>
            <w:tcW w:type="dxa" w:w="2160"/>
          </w:tcPr>
          <w:p>
            <w:r>
              <w:t>28,81</w:t>
            </w:r>
          </w:p>
        </w:tc>
        <w:tc>
          <w:tcPr>
            <w:tcW w:type="dxa" w:w="2160"/>
          </w:tcPr>
          <w:p>
            <w:r>
              <w:t>caudal &gt; 11,5 m³/h (2" PVC); consumo diario/pico extremo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21277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diario_pre_medid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27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Periodo medidor nuevo (desde 22-abr-2026)</w:t>
      </w:r>
    </w:p>
    <w:p>
      <w:r>
        <w:t>Días analizados: 43 (hasta 03-06-2026). Consumo acumulado: 106,2 m³ (promedio 2,47 m³/día).</w:t>
        <w:br/>
        <w:t>Tras el cambio de medidor el patrón es bajo y estable (típicamente 0,4–5 m³/día), compatible con consumo base o uso acotado.</w:t>
        <w:br/>
        <w:t>Días con anomalía tipo «2" PVC»: 0.</w:t>
        <w:br/>
        <w:t>Corte energía 8–12 may: 5 días a 0 m³ — explicado por baja de energía del equipo.</w:t>
      </w:r>
    </w:p>
    <w:p/>
    <w:p>
      <w:r>
        <w:drawing>
          <wp:inline xmlns:a="http://schemas.openxmlformats.org/drawingml/2006/main" xmlns:pic="http://schemas.openxmlformats.org/drawingml/2006/picture">
            <wp:extent cx="5760000" cy="21277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diario_comple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27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Conclusiones</w:t>
      </w:r>
    </w:p>
    <w:p>
      <w:pPr>
        <w:pStyle w:val="ListBullet"/>
      </w:pPr>
      <w:r>
        <w:t>Episodios más relevantes (pre-22-abr): 30-03-2026 (972,3 m³, máx 397,6 m³/h), 24-02-2026 (458,6 m³, máx 286,3 m³/h), 14-02-2026 (231,3 m³, máx 176,5 m³/h).</w:t>
      </w:r>
    </w:p>
    <w:p>
      <w:pPr>
        <w:pStyle w:val="ListBullet"/>
      </w:pPr>
      <w:r>
        <w:t>El medidor anterior registró múltiples episodios de consumo incompatible con una tubería de 2" PVC; no deben usarse para valorizar ahorro sin depurar esos días.</w:t>
      </w:r>
    </w:p>
    <w:p>
      <w:pPr>
        <w:pStyle w:val="ListBullet"/>
      </w:pPr>
      <w:r>
        <w:t>Desde el 22-abr-2026 los datos son coherentes con el nuevo ultrasónico.</w:t>
      </w:r>
    </w:p>
    <w:p>
      <w:pPr>
        <w:pStyle w:val="ListBullet"/>
      </w:pPr>
      <w:r>
        <w:t>La semana 8–12 de mayo sin lecturas responde al corte de energía del equipo, no a falla hidráulica.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