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Informe comparativo — Reparación de fugas en matriz (Honduras)</w:t>
      </w:r>
    </w:p>
    <w:p/>
    <w:p>
      <w:r>
        <w:rPr>
          <w:b/>
        </w:rPr>
        <w:t xml:space="preserve">Cliente: </w:t>
      </w:r>
      <w:r>
        <w:t>Universidad del Desarrollo (UDD)</w:t>
      </w:r>
    </w:p>
    <w:p>
      <w:r>
        <w:rPr>
          <w:b/>
        </w:rPr>
        <w:t xml:space="preserve">Punto WES: </w:t>
      </w:r>
      <w:r>
        <w:t>000026-01 — Sala impulsión Honduras</w:t>
      </w:r>
    </w:p>
    <w:p>
      <w:r>
        <w:rPr>
          <w:b/>
        </w:rPr>
        <w:t xml:space="preserve">Intervención: </w:t>
      </w:r>
      <w:r>
        <w:t>Sábado 11/07/2026 — reparación de fugas en la matriz (corte de agua para trabajos)</w:t>
      </w:r>
    </w:p>
    <w:p>
      <w:r>
        <w:rPr>
          <w:b/>
        </w:rPr>
        <w:t xml:space="preserve">Ventana antes: </w:t>
      </w:r>
      <w:r>
        <w:t>04/07/2026 – 10/07/2026 (7 días)</w:t>
      </w:r>
    </w:p>
    <w:p>
      <w:r>
        <w:rPr>
          <w:b/>
        </w:rPr>
        <w:t xml:space="preserve">Ventana después: </w:t>
      </w:r>
      <w:r>
        <w:t>12/07/2026 – 18/07/2026 (7 días)</w:t>
      </w:r>
    </w:p>
    <w:p>
      <w:r>
        <w:rPr>
          <w:b/>
        </w:rPr>
        <w:t xml:space="preserve">Exclusión: </w:t>
      </w:r>
      <w:r>
        <w:t>11/07/2026 no se incluye en totales ni en el gráfico comparativo (día de corte de suministro).</w:t>
      </w:r>
    </w:p>
    <w:p>
      <w:r>
        <w:rPr>
          <w:b/>
        </w:rPr>
        <w:t xml:space="preserve">Generado: </w:t>
      </w:r>
      <w:r>
        <w:t>23-07-2026 15:09</w:t>
      </w:r>
    </w:p>
    <w:p>
      <w:pPr>
        <w:pStyle w:val="Heading1"/>
      </w:pPr>
      <w:r>
        <w:t>1. Objetivo</w:t>
      </w:r>
    </w:p>
    <w:p>
      <w:r>
        <w:t>Cuantificar el cambio de consumo en Sala impulsión Honduras luego de las reparaciones de fugas en la matriz realizadas el 11/07/2026, comparando dos ventanas equivalentes de 7 días (antes y después), sin contaminar el análisis con el día del corte de agua.</w:t>
      </w:r>
    </w:p>
    <w:p>
      <w:pPr>
        <w:pStyle w:val="Heading1"/>
      </w:pPr>
      <w:r>
        <w:t>2. Metodología</w:t>
      </w:r>
    </w:p>
    <w:p>
      <w:pPr>
        <w:pStyle w:val="ListBullet"/>
      </w:pPr>
      <w:r>
        <w:t>Se obtiene el consumo diario aproximado (m³) como suma de los caudales horarios registrados por la plataforma WES (m³/h × 1 h).</w:t>
      </w:r>
    </w:p>
    <w:p>
      <w:pPr>
        <w:pStyle w:val="ListBullet"/>
      </w:pPr>
      <w:r>
        <w:t>Periodo previo: 04/07/2026 al 10/07/2026.</w:t>
      </w:r>
    </w:p>
    <w:p>
      <w:pPr>
        <w:pStyle w:val="ListBullet"/>
      </w:pPr>
      <w:r>
        <w:t>Periodo posterior: 12/07/2026 al 18/07/2026.</w:t>
      </w:r>
    </w:p>
    <w:p>
      <w:pPr>
        <w:pStyle w:val="ListBullet"/>
      </w:pPr>
      <w:r>
        <w:t>El día 11/07/2026 se excluye del comparativo porque el suministro fue cortado para ejecutar los trabajos.</w:t>
      </w:r>
    </w:p>
    <w:p>
      <w:pPr>
        <w:pStyle w:val="ListBullet"/>
      </w:pPr>
      <w:r>
        <w:t>El gráfico de consumo diario usa el mismo formato de los reportes agregados (línea con área): rojo = antes de la reparación; azul = después.</w:t>
      </w:r>
    </w:p>
    <w:p>
      <w:pPr>
        <w:pStyle w:val="Heading1"/>
      </w:pPr>
      <w:r>
        <w:t>3. Resumen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 días antes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 días después</w:t>
            </w:r>
          </w:p>
        </w:tc>
      </w:tr>
      <w:tr>
        <w:tc>
          <w:tcPr>
            <w:tcW w:type="dxa" w:w="2880"/>
          </w:tcPr>
          <w:p>
            <w:r>
              <w:t>Periodo</w:t>
            </w:r>
          </w:p>
        </w:tc>
        <w:tc>
          <w:tcPr>
            <w:tcW w:type="dxa" w:w="2880"/>
          </w:tcPr>
          <w:p>
            <w:r>
              <w:t>04/07–10/07</w:t>
            </w:r>
          </w:p>
        </w:tc>
        <w:tc>
          <w:tcPr>
            <w:tcW w:type="dxa" w:w="2880"/>
          </w:tcPr>
          <w:p>
            <w:r>
              <w:t>12/07–18/07</w:t>
            </w:r>
          </w:p>
        </w:tc>
      </w:tr>
      <w:tr>
        <w:tc>
          <w:tcPr>
            <w:tcW w:type="dxa" w:w="2880"/>
          </w:tcPr>
          <w:p>
            <w:r>
              <w:t>Consumo acumulado (m³)</w:t>
            </w:r>
          </w:p>
        </w:tc>
        <w:tc>
          <w:tcPr>
            <w:tcW w:type="dxa" w:w="2880"/>
          </w:tcPr>
          <w:p>
            <w:r>
              <w:t>411,86</w:t>
            </w:r>
          </w:p>
        </w:tc>
        <w:tc>
          <w:tcPr>
            <w:tcW w:type="dxa" w:w="2880"/>
          </w:tcPr>
          <w:p>
            <w:r>
              <w:t>128,45</w:t>
            </w:r>
          </w:p>
        </w:tc>
      </w:tr>
      <w:tr>
        <w:tc>
          <w:tcPr>
            <w:tcW w:type="dxa" w:w="2880"/>
          </w:tcPr>
          <w:p>
            <w:r>
              <w:t>Promedio diario (m³/día)</w:t>
            </w:r>
          </w:p>
        </w:tc>
        <w:tc>
          <w:tcPr>
            <w:tcW w:type="dxa" w:w="2880"/>
          </w:tcPr>
          <w:p>
            <w:r>
              <w:t>58,84</w:t>
            </w:r>
          </w:p>
        </w:tc>
        <w:tc>
          <w:tcPr>
            <w:tcW w:type="dxa" w:w="2880"/>
          </w:tcPr>
          <w:p>
            <w:r>
              <w:t>18,35</w:t>
            </w:r>
          </w:p>
        </w:tc>
      </w:tr>
      <w:tr>
        <w:tc>
          <w:tcPr>
            <w:tcW w:type="dxa" w:w="2880"/>
          </w:tcPr>
          <w:p>
            <w:r>
              <w:t>Máximo diario (m³)</w:t>
            </w:r>
          </w:p>
        </w:tc>
        <w:tc>
          <w:tcPr>
            <w:tcW w:type="dxa" w:w="2880"/>
          </w:tcPr>
          <w:p>
            <w:r>
              <w:t>81,54</w:t>
            </w:r>
          </w:p>
        </w:tc>
        <w:tc>
          <w:tcPr>
            <w:tcW w:type="dxa" w:w="2880"/>
          </w:tcPr>
          <w:p>
            <w:r>
              <w:t>126,84</w:t>
            </w:r>
          </w:p>
        </w:tc>
      </w:tr>
      <w:tr>
        <w:tc>
          <w:tcPr>
            <w:tcW w:type="dxa" w:w="2880"/>
          </w:tcPr>
          <w:p>
            <w:r>
              <w:t>Mínimo diario (m³)</w:t>
            </w:r>
          </w:p>
        </w:tc>
        <w:tc>
          <w:tcPr>
            <w:tcW w:type="dxa" w:w="2880"/>
          </w:tcPr>
          <w:p>
            <w:r>
              <w:t>11,74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rPr>
          <w:b/>
        </w:rPr>
        <w:t xml:space="preserve">Variación acumulada (antes − después): </w:t>
      </w:r>
      <w:r>
        <w:t>283,41 m³ (reducción de 68,8 %).</w:t>
      </w:r>
    </w:p>
    <w:p>
      <w:r>
        <w:rPr>
          <w:b/>
        </w:rPr>
        <w:t xml:space="preserve">Día 11/07/2026 (excluido): </w:t>
      </w:r>
      <w:r>
        <w:t>consumo registrado 19,03 m³ (24 horas con dato). Solo referencial; no entra al comparativo.</w:t>
      </w:r>
    </w:p>
    <w:p>
      <w:pPr>
        <w:pStyle w:val="Heading1"/>
      </w:pPr>
      <w:r>
        <w:t>4. Detalle diario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Día semana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 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 después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después</w:t>
            </w:r>
          </w:p>
        </w:tc>
      </w:tr>
      <w:tr>
        <w:tc>
          <w:tcPr>
            <w:tcW w:type="dxa" w:w="1728"/>
          </w:tcPr>
          <w:p>
            <w:r>
              <w:t>Sábado</w:t>
            </w:r>
          </w:p>
        </w:tc>
        <w:tc>
          <w:tcPr>
            <w:tcW w:type="dxa" w:w="1728"/>
          </w:tcPr>
          <w:p>
            <w:r>
              <w:t>04/07/2026</w:t>
            </w:r>
          </w:p>
        </w:tc>
        <w:tc>
          <w:tcPr>
            <w:tcW w:type="dxa" w:w="1728"/>
          </w:tcPr>
          <w:p>
            <w:r>
              <w:t>31,49</w:t>
            </w:r>
          </w:p>
        </w:tc>
        <w:tc>
          <w:tcPr>
            <w:tcW w:type="dxa" w:w="1728"/>
          </w:tcPr>
          <w:p>
            <w:r>
              <w:t>12/07/2026</w:t>
            </w:r>
          </w:p>
        </w:tc>
        <w:tc>
          <w:tcPr>
            <w:tcW w:type="dxa" w:w="1728"/>
          </w:tcPr>
          <w:p>
            <w:r>
              <w:t>1,61</w:t>
            </w:r>
          </w:p>
        </w:tc>
      </w:tr>
      <w:tr>
        <w:tc>
          <w:tcPr>
            <w:tcW w:type="dxa" w:w="1728"/>
          </w:tcPr>
          <w:p>
            <w:r>
              <w:t>Domingo</w:t>
            </w:r>
          </w:p>
        </w:tc>
        <w:tc>
          <w:tcPr>
            <w:tcW w:type="dxa" w:w="1728"/>
          </w:tcPr>
          <w:p>
            <w:r>
              <w:t>05/07/2026</w:t>
            </w:r>
          </w:p>
        </w:tc>
        <w:tc>
          <w:tcPr>
            <w:tcW w:type="dxa" w:w="1728"/>
          </w:tcPr>
          <w:p>
            <w:r>
              <w:t>11,74</w:t>
            </w:r>
          </w:p>
        </w:tc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Lunes</w:t>
            </w:r>
          </w:p>
        </w:tc>
        <w:tc>
          <w:tcPr>
            <w:tcW w:type="dxa" w:w="1728"/>
          </w:tcPr>
          <w:p>
            <w:r>
              <w:t>06/07/2026</w:t>
            </w:r>
          </w:p>
        </w:tc>
        <w:tc>
          <w:tcPr>
            <w:tcW w:type="dxa" w:w="1728"/>
          </w:tcPr>
          <w:p>
            <w:r>
              <w:t>81,54</w:t>
            </w:r>
          </w:p>
        </w:tc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126,84</w:t>
            </w:r>
          </w:p>
        </w:tc>
      </w:tr>
      <w:tr>
        <w:tc>
          <w:tcPr>
            <w:tcW w:type="dxa" w:w="1728"/>
          </w:tcPr>
          <w:p>
            <w:r>
              <w:t>Martes</w:t>
            </w:r>
          </w:p>
        </w:tc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78,33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Miércoles</w:t>
            </w:r>
          </w:p>
        </w:tc>
        <w:tc>
          <w:tcPr>
            <w:tcW w:type="dxa" w:w="1728"/>
          </w:tcPr>
          <w:p>
            <w:r>
              <w:t>08/07/2026</w:t>
            </w:r>
          </w:p>
        </w:tc>
        <w:tc>
          <w:tcPr>
            <w:tcW w:type="dxa" w:w="1728"/>
          </w:tcPr>
          <w:p>
            <w:r>
              <w:t>75,28</w:t>
            </w:r>
          </w:p>
        </w:tc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Jueves</w:t>
            </w:r>
          </w:p>
        </w:tc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Viernes</w:t>
            </w:r>
          </w:p>
        </w:tc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59,48</w:t>
            </w:r>
          </w:p>
        </w:tc>
        <w:tc>
          <w:tcPr>
            <w:tcW w:type="dxa" w:w="1728"/>
          </w:tcPr>
          <w:p>
            <w:r>
              <w:t>18/07/2026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411,86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rPr>
                <w:b/>
              </w:rPr>
              <w:t>128,45</w:t>
            </w:r>
          </w:p>
        </w:tc>
      </w:tr>
    </w:tbl>
    <w:p>
      <w:pPr>
        <w:pStyle w:val="Heading1"/>
      </w:pPr>
      <w:r>
        <w:t>5. Gráficos</w:t>
      </w:r>
    </w:p>
    <w:p>
      <w:pPr>
        <w:pStyle w:val="Heading2"/>
      </w:pPr>
      <w:r>
        <w:t>5.1 Consumo diario (estilo reporte agregado)</w:t>
      </w:r>
    </w:p>
    <w:p>
      <w:r>
        <w:t>Línea con área sombreada (mismo formato de los reportes agregados). Rojo = 7 días antes de la reparación; azul = 7 días después. El 11/07/2026 no se incluye en la serie (solo se marca como día de corte excluido).</w:t>
      </w:r>
    </w:p>
    <w:p>
      <w:r>
        <w:drawing>
          <wp:inline xmlns:a="http://schemas.openxmlformats.org/drawingml/2006/main" xmlns:pic="http://schemas.openxmlformats.org/drawingml/2006/picture">
            <wp:extent cx="5760720" cy="2867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sumo_diario_antes_desp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Totales acumulados</w:t>
      </w:r>
    </w:p>
    <w:p>
      <w:r>
        <w:t>Suma de los 7 días de cada ventana (sin el día de corte). Rojo = antes; azul = después.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tales_acumul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Comparativo de martes (gráfica día estilo app WES)</w:t>
      </w:r>
    </w:p>
    <w:p>
      <w:r>
        <w:t>Se contrastan los dos martes de las ventanas: 07/07/2026 (antes) y 14/07/2026 (después). Los perfiles usan el formato de la gráfica día de la app WES (línea azul + área, sin barras; marca del máximo del día).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Martes 07/07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Martes 14/07</w:t>
            </w:r>
          </w:p>
        </w:tc>
      </w:tr>
      <w:tr>
        <w:tc>
          <w:tcPr>
            <w:tcW w:type="dxa" w:w="2880"/>
          </w:tcPr>
          <w:p>
            <w:r>
              <w:t>Consumo total día (m³)</w:t>
            </w:r>
          </w:p>
        </w:tc>
        <w:tc>
          <w:tcPr>
            <w:tcW w:type="dxa" w:w="2880"/>
          </w:tcPr>
          <w:p>
            <w:r>
              <w:t>78,33</w:t>
            </w:r>
          </w:p>
        </w:tc>
        <w:tc>
          <w:tcPr>
            <w:tcW w:type="dxa" w:w="2880"/>
          </w:tcPr>
          <w:p>
            <w:r>
              <w:t>126,84</w:t>
            </w:r>
          </w:p>
        </w:tc>
      </w:tr>
      <w:tr>
        <w:tc>
          <w:tcPr>
            <w:tcW w:type="dxa" w:w="2880"/>
          </w:tcPr>
          <w:p>
            <w:r>
              <w:t>Nocturno 00:00–06:00 (m³)</w:t>
            </w:r>
          </w:p>
        </w:tc>
        <w:tc>
          <w:tcPr>
            <w:tcW w:type="dxa" w:w="2880"/>
          </w:tcPr>
          <w:p>
            <w:r>
              <w:t>9,34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Datos horarios API</w:t>
            </w:r>
          </w:p>
        </w:tc>
        <w:tc>
          <w:tcPr>
            <w:tcW w:type="dxa" w:w="2880"/>
          </w:tcPr>
          <w:p>
            <w:r>
              <w:t>Sí (24 h)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>
      <w:pPr>
        <w:pStyle w:val="Heading2"/>
      </w:pPr>
      <w:r>
        <w:t>6.1 Perfil día — martes antes (estilo app)</w:t>
      </w:r>
    </w:p>
    <w:p>
      <w:r>
        <w:drawing>
          <wp:inline xmlns:a="http://schemas.openxmlformats.org/drawingml/2006/main" xmlns:pic="http://schemas.openxmlformats.org/drawingml/2006/picture">
            <wp:extent cx="5669280" cy="2796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rtes_antes_estilo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Perfil día — martes después (estilo app)</w:t>
      </w:r>
    </w:p>
    <w:p>
      <w:r>
        <w:drawing>
          <wp:inline xmlns:a="http://schemas.openxmlformats.org/drawingml/2006/main" xmlns:pic="http://schemas.openxmlformats.org/drawingml/2006/picture">
            <wp:extent cx="5669280" cy="2796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tes_despues_estilo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Comparativo de perfiles (líneas)</w:t>
      </w:r>
    </w:p>
    <w:p>
      <w:r>
        <w:t>Líneas con área (sin barras): rojo = martes antes; azul = día usado para el perfil después.</w:t>
      </w:r>
    </w:p>
    <w:p>
      <w:r>
        <w:drawing>
          <wp:inline xmlns:a="http://schemas.openxmlformats.org/drawingml/2006/main" xmlns:pic="http://schemas.openxmlformats.org/drawingml/2006/picture">
            <wp:extent cx="5760720" cy="2841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ivo_perfiles_line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Control nocturno 00:00–06:00 (7 días antes vs 7 días después)</w:t>
      </w:r>
    </w:p>
    <w:p>
      <w:r>
        <w:t>En la franja 00:00–06:00, los 7 días previos a la reparación sumaron 41,16 m³ (promedio 5,88 m³/noche), frente a 0,38 m³ en los 7 días posteriores (promedio 0,05 m³/noche). Variación: 40,78 m³ (reducción de 99,1 %). El 11/07 no se incluye. El perfil día comparado es martes 07/07 vs martes 14/07.</w:t>
      </w:r>
    </w:p>
    <w:p>
      <w:r>
        <w:t>Gráfico en amarillo/naranja (misma paleta de consumo nocturno de los reportes agregados). Cada par de barras compara el mismo orden de día dentro de cada ventana de 7 días.</w:t>
      </w:r>
    </w:p>
    <w:p>
      <w:r>
        <w:drawing>
          <wp:inline xmlns:a="http://schemas.openxmlformats.org/drawingml/2006/main" xmlns:pic="http://schemas.openxmlformats.org/drawingml/2006/picture">
            <wp:extent cx="5760720" cy="2647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rol_nocturno_7x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6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Día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 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noche 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 después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m³ noche después</w:t>
            </w:r>
          </w:p>
        </w:tc>
      </w:tr>
      <w:tr>
        <w:tc>
          <w:tcPr>
            <w:tcW w:type="dxa" w:w="1728"/>
          </w:tcPr>
          <w:p>
            <w:r>
              <w:t>Sábado</w:t>
            </w:r>
          </w:p>
        </w:tc>
        <w:tc>
          <w:tcPr>
            <w:tcW w:type="dxa" w:w="1728"/>
          </w:tcPr>
          <w:p>
            <w:r>
              <w:t>04/07/2026</w:t>
            </w:r>
          </w:p>
        </w:tc>
        <w:tc>
          <w:tcPr>
            <w:tcW w:type="dxa" w:w="1728"/>
          </w:tcPr>
          <w:p>
            <w:r>
              <w:t>6,29</w:t>
            </w:r>
          </w:p>
        </w:tc>
        <w:tc>
          <w:tcPr>
            <w:tcW w:type="dxa" w:w="1728"/>
          </w:tcPr>
          <w:p>
            <w:r>
              <w:t>18/07/2026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Domingo</w:t>
            </w:r>
          </w:p>
        </w:tc>
        <w:tc>
          <w:tcPr>
            <w:tcW w:type="dxa" w:w="1728"/>
          </w:tcPr>
          <w:p>
            <w:r>
              <w:t>05/07/2026</w:t>
            </w:r>
          </w:p>
        </w:tc>
        <w:tc>
          <w:tcPr>
            <w:tcW w:type="dxa" w:w="1728"/>
          </w:tcPr>
          <w:p>
            <w:r>
              <w:t>2,54</w:t>
            </w:r>
          </w:p>
        </w:tc>
        <w:tc>
          <w:tcPr>
            <w:tcW w:type="dxa" w:w="1728"/>
          </w:tcPr>
          <w:p>
            <w:r>
              <w:t>12/07/2026</w:t>
            </w:r>
          </w:p>
        </w:tc>
        <w:tc>
          <w:tcPr>
            <w:tcW w:type="dxa" w:w="1728"/>
          </w:tcPr>
          <w:p>
            <w:r>
              <w:t>0,38</w:t>
            </w:r>
          </w:p>
        </w:tc>
      </w:tr>
      <w:tr>
        <w:tc>
          <w:tcPr>
            <w:tcW w:type="dxa" w:w="1728"/>
          </w:tcPr>
          <w:p>
            <w:r>
              <w:t>Lunes</w:t>
            </w:r>
          </w:p>
        </w:tc>
        <w:tc>
          <w:tcPr>
            <w:tcW w:type="dxa" w:w="1728"/>
          </w:tcPr>
          <w:p>
            <w:r>
              <w:t>06/07/2026</w:t>
            </w:r>
          </w:p>
        </w:tc>
        <w:tc>
          <w:tcPr>
            <w:tcW w:type="dxa" w:w="1728"/>
          </w:tcPr>
          <w:p>
            <w:r>
              <w:t>4,27</w:t>
            </w:r>
          </w:p>
        </w:tc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Martes</w:t>
            </w:r>
          </w:p>
        </w:tc>
        <w:tc>
          <w:tcPr>
            <w:tcW w:type="dxa" w:w="1728"/>
          </w:tcPr>
          <w:p>
            <w:r>
              <w:t>07/07/2026</w:t>
            </w:r>
          </w:p>
        </w:tc>
        <w:tc>
          <w:tcPr>
            <w:tcW w:type="dxa" w:w="1728"/>
          </w:tcPr>
          <w:p>
            <w:r>
              <w:t>9,34</w:t>
            </w:r>
          </w:p>
        </w:tc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Miércoles</w:t>
            </w:r>
          </w:p>
        </w:tc>
        <w:tc>
          <w:tcPr>
            <w:tcW w:type="dxa" w:w="1728"/>
          </w:tcPr>
          <w:p>
            <w:r>
              <w:t>08/07/2026</w:t>
            </w:r>
          </w:p>
        </w:tc>
        <w:tc>
          <w:tcPr>
            <w:tcW w:type="dxa" w:w="1728"/>
          </w:tcPr>
          <w:p>
            <w:r>
              <w:t>8,16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Jueves</w:t>
            </w:r>
          </w:p>
        </w:tc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5,93</w:t>
            </w:r>
          </w:p>
        </w:tc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Viernes</w:t>
            </w:r>
          </w:p>
        </w:tc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4,63</w:t>
            </w:r>
          </w:p>
        </w:tc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41,16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0,38</w:t>
            </w:r>
          </w:p>
        </w:tc>
      </w:tr>
    </w:tbl>
    <w:p>
      <w:pPr>
        <w:pStyle w:val="Heading1"/>
      </w:pPr>
      <w:r>
        <w:t>8. Conclusión</w:t>
      </w:r>
    </w:p>
    <w:p>
      <w:r>
        <w:t>Tras la reparación de fugas en la matriz (11/07/2026), el consumo acumulado en los 7 días siguientes (128,5 m³) es 68,8 % menor que en los 7 días previos (411,9 m³). La reducción de 283,4 m³ en la semana es coherente con la eliminación de pérdidas en la matriz y respalda el impacto positivo de la intervención.</w:t>
      </w:r>
    </w:p>
    <w:p>
      <w:r>
        <w:t>Complemento nocturno (7×7): 41,16 m³ antes vs 0,38 m³ después en 00:00–06:00.</w:t>
      </w:r>
    </w:p>
    <w:p>
      <w:pPr>
        <w:pStyle w:val="Heading1"/>
      </w:pPr>
      <w:r>
        <w:t>9. Consideraciones</w:t>
      </w:r>
    </w:p>
    <w:p>
      <w:pPr>
        <w:pStyle w:val="ListBullet"/>
      </w:pPr>
      <w:r>
        <w:t>La comparación semanal puede verse afectada por la ocupación del campus, riego u otras demandas.</w:t>
      </w:r>
    </w:p>
    <w:p>
      <w:pPr>
        <w:pStyle w:val="ListBullet"/>
      </w:pPr>
      <w:r>
        <w:t>El caudal entre 00:00 y 06:00 es el indicador más estable de fugas residuales.</w:t>
      </w:r>
    </w:p>
    <w:p>
      <w:pPr>
        <w:pStyle w:val="ListBullet"/>
      </w:pPr>
      <w:r>
        <w:t>Los perfiles día siguen el estilo de la gráfica de la app WES (línea + área, sin barras).</w:t>
      </w:r>
    </w:p>
    <w:p>
      <w:pPr>
        <w:pStyle w:val="ListBullet"/>
      </w:pPr>
      <w:r>
        <w:t>El comparativo de perfil día usa martes vs martes (07/07 vs 14/07).</w:t>
      </w:r>
    </w:p>
    <w:p>
      <w:pPr>
        <w:pStyle w:val="ListBullet"/>
      </w:pPr>
      <w:r>
        <w:t>Valores alineados con Sala impulsión Honduras, nodo 000026-01.</w:t>
      </w:r>
    </w:p>
    <w:p>
      <w:pPr>
        <w:jc w:val="center"/>
      </w:pPr>
      <w:r>
        <w:rPr>
          <w:color w:val="787878"/>
          <w:sz w:val="18"/>
        </w:rPr>
        <w:t>WES — Water Efficiency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