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Etapa N°5 · Fundo Zapallar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79638671875" w:line="240" w:lineRule="auto"/>
        <w:ind w:left="13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Etapa N°5 (000027-03) · Informe final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41162109375" w:line="240" w:lineRule="auto"/>
        <w:ind w:left="119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 w:eastAsia="Calibri"/>
          <w:b w:val="0"/>
          <w:color w:val="646E78"/>
          <w:sz w:val="20"/>
        </w:rPr>
        <w:t>Validación: 22-09-2026 14:30 → 28-09-2026 08:57 · Intervención placa 22-09-2026</w:t>
      </w:r>
    </w:p>
    <w:tbl>
      <w:tblPr>
        <w:tblStyle w:val="Table1"/>
        <w:tblW w:w="10085.999755859375" w:type="dxa"/>
        <w:jc w:val="left"/>
        <w:tblLayout w:type="fixed"/>
        <w:tblLook w:val="060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62.0001220703125"/>
        <w:gridCol w:w="3362.0001220703125"/>
        <w:gridCol w:w="3361.99951171875"/>
        <w:tblGridChange w:id="0">
          <w:tblGrid>
            <w:gridCol w:w="3362.0001220703125"/>
            <w:gridCol w:w="3362.0001220703125"/>
            <w:gridCol w:w="3361.99951171875"/>
          </w:tblGrid>
        </w:tblGridChange>
      </w:tblGrid>
      <w:tr>
        <w:trPr>
          <w:cantSplit w:val="0"/>
          <w:trHeight w:val="312.000732421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800445556640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8901367187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584960937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rPr>
          <w:cantSplit w:val="0"/>
          <w:trHeight w:val="643.999023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8F5E9" w:val="clear" w:color="auto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000518798828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Error 3.6 %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81 / 78,10 m³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8F5E9" w:val="clear" w:color="auto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5.144 → 5.225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81 m³ · 22→28/09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8F5E9" w:val="clear" w:color="auto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28.759765625" w:right="480.6005859375" w:firstLine="11.839599609375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DN90 · techo ≈ 60 m³/h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Q3 medidor 100 m³/h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16001892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52899169922" w:lineRule="auto"/>
        <w:ind w:left="130" w:right="1.795654296875" w:firstLine="8.400039672851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Documentar la intervención en terreno sobre la placa de Etapa N°5 ante caudales anómalos incompatibles con la red DN90, y presentar el cálculo de validación entre lecturas mecánicas del medidor Sensus y el consumo de la app WES.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0117187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49752044678" w:lineRule="auto"/>
        <w:ind w:left="130" w:right="0" w:hanging="0.800018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>
        <w:rPr>
          <w:rFonts w:ascii="Calibri" w:hAnsi="Calibri" w:eastAsia="Calibri"/>
          <w:b w:val="0"/>
          <w:color w:val="282828"/>
          <w:sz w:val="21"/>
        </w:rPr>
        <w:t>Se detectaron pulsos anómalos; el error era de memoria de placa. Se reemplazó la memoria y se normalizó el punto. Validación única 22–28/09: Sensus 81 m³ vs app 78,10 m³ (error 3.6%, aceptable).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133789062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196777343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3.1 Revisión en terreno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3.402099609375" w:hanging="6.8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Sensor Census / inductivo OK, pulsos de revisión OK y voltajes correctos. Diagnóstico: falla de memoria de la placa. Acción: cambio de memoria; punto reparado/normalizado.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1215820312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3.2 Medidor instalado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9521484375" w:line="312.8749752044678" w:lineRule="auto"/>
        <w:ind w:left="128.800048828125" w:right="6.39404296875" w:firstLine="9.5999908447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Medidor Sensus MeiStream Plus 100, serie 8 SEN01 2370 9030 (2023), Q3 = 100 m³/h. Módulo HRI-Mei B4 500 ms (serie 31730485), pulso DN 40–125 = 100 L/pulso. Lecturas: 5.144 m³ (22-09-2026) 5.177 m³ (23- → 09-2026); Δ 33 m³.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0605468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3.3 Criterio hidráulico (DN90)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8.99536132812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Red DN90 fierro dúctil. Techo práctico 60 m³/h (~2,5 m/s). El medidor admite Q3 = 100 m³/h, pero la red ≈ no entrega de forma realista 92–200 m³/h (error de memoria).</w:t>
      </w:r>
    </w:p>
    <w:tbl>
      <w:tblPr>
        <w:tblStyle w:val="Table2"/>
        <w:tblW w:w="10085.999755859375" w:type="dxa"/>
        <w:jc w:val="left"/>
        <w:tblLayout w:type="fixed"/>
        <w:tblLook w:val="060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311.9998168945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Velocidad de referencia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1F4788" w:val="clear" w:color="auto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40063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Caudal teórico DN90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000030517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 m/s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34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2,0 m/s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5F8FB" w:val="clear" w:color="auto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46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2,5 m/s (techo práctico)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 w:color="auto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57–60 m³/h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keepNext/>
        <w:keepLines/>
      </w:pPr>
      <w:r>
        <w:rPr>
          <w:rFonts w:ascii="Calibri" w:hAnsi="Calibri" w:eastAsia="Calibri"/>
          <w:b/>
          <w:color w:val="1F4788"/>
          <w:sz w:val="28"/>
        </w:rPr>
        <w:t>4. Cálculo de validación</w:t>
      </w:r>
    </w:p>
    <w:p>
      <w:pPr>
        <w:keepNext/>
        <w:keepLines/>
      </w:pPr>
      <w:r>
        <w:rPr>
          <w:rFonts w:ascii="Calibri" w:hAnsi="Calibri" w:eastAsia="Calibri"/>
          <w:b/>
          <w:color w:val="1F4788"/>
          <w:sz w:val="24"/>
        </w:rPr>
        <w:t>4.1 Sensus vs app WES (22-09 14:30 → 28-09 08:57)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99"/>
        <w:gridCol w:w="3399"/>
        <w:gridCol w:w="3399"/>
      </w:tblGrid>
      <w:tr>
        <w:trPr>
          <w:cantSplit/>
          <w:tblHeader w:val="true"/>
        </w:trPr>
        <w:tc>
          <w:tcPr>
            <w:tcW w:type="dxa" w:w="3399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99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99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Ventana</w:t>
            </w:r>
          </w:p>
        </w:tc>
      </w:tr>
      <w:tr>
        <w:trPr>
          <w:cantSplit/>
          <w:tblHeader w:val="true"/>
        </w:trPr>
        <w:tc>
          <w:tcPr>
            <w:tcW w:type="dxa" w:w="3399"/>
            <w:shd w:fill="E8F5E9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Error 3.6 %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81 / 78,10 m³</w:t>
            </w:r>
          </w:p>
        </w:tc>
        <w:tc>
          <w:tcPr>
            <w:tcW w:type="dxa" w:w="3399"/>
            <w:shd w:fill="E8F5E9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5.144 → 5.225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81 m³</w:t>
            </w:r>
          </w:p>
        </w:tc>
        <w:tc>
          <w:tcPr>
            <w:tcW w:type="dxa" w:w="3399"/>
            <w:shd w:fill="E8F5E9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22 → 28/09/2026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139 horas app</w:t>
            </w:r>
          </w:p>
        </w:tc>
      </w:tr>
    </w:tbl>
    <w:p/>
    <w:p>
      <w:pPr>
        <w:keepNext/>
        <w:keepLines/>
      </w:pPr>
      <w:r>
        <w:rPr>
          <w:rFonts w:ascii="Calibri" w:hAnsi="Calibri" w:eastAsia="Calibri"/>
          <w:b w:val="0"/>
          <w:color w:val="282828"/>
          <w:sz w:val="21"/>
        </w:rPr>
        <w:t>Una sola validación con lecturas fotográficas Sensus y el consumo app WES (hora 14 del 22-09 → hora 08 del 28-09). El 22/09 14:00–23:00 se toma del listado horario de placa (API truncada tras cambio de memoria); del 23/09 en adelante, CSV TIME etiqueta.</w:t>
      </w:r>
    </w:p>
    <w:p>
      <w:pPr>
        <w:keepNext/>
        <w:keepLines/>
      </w:pPr>
      <w:r>
        <w:rPr>
          <w:rFonts w:ascii="Calibri" w:hAnsi="Calibri" w:eastAsia="Calibri"/>
          <w:b/>
          <w:color w:val="1F4788"/>
          <w:sz w:val="20"/>
        </w:rPr>
        <w:t>Listado horario 22-09-2026 (14:00 → 23:00) — placa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 w:val="true"/>
        </w:trPr>
        <w:tc>
          <w:tcPr>
            <w:tcW w:type="dxa" w:w="1020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14:00</w:t>
            </w:r>
          </w:p>
        </w:tc>
        <w:tc>
          <w:tcPr>
            <w:tcW w:type="dxa" w:w="1020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15:00</w:t>
            </w:r>
          </w:p>
        </w:tc>
        <w:tc>
          <w:tcPr>
            <w:tcW w:type="dxa" w:w="1020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16:00</w:t>
            </w:r>
          </w:p>
        </w:tc>
        <w:tc>
          <w:tcPr>
            <w:tcW w:type="dxa" w:w="1020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17:00</w:t>
            </w:r>
          </w:p>
        </w:tc>
        <w:tc>
          <w:tcPr>
            <w:tcW w:type="dxa" w:w="1020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18:00</w:t>
            </w:r>
          </w:p>
        </w:tc>
        <w:tc>
          <w:tcPr>
            <w:tcW w:type="dxa" w:w="1020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19:00</w:t>
            </w:r>
          </w:p>
        </w:tc>
        <w:tc>
          <w:tcPr>
            <w:tcW w:type="dxa" w:w="1020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20:00</w:t>
            </w:r>
          </w:p>
        </w:tc>
        <w:tc>
          <w:tcPr>
            <w:tcW w:type="dxa" w:w="1020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21:00</w:t>
            </w:r>
          </w:p>
        </w:tc>
        <w:tc>
          <w:tcPr>
            <w:tcW w:type="dxa" w:w="1020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22:00</w:t>
            </w:r>
          </w:p>
        </w:tc>
        <w:tc>
          <w:tcPr>
            <w:tcW w:type="dxa" w:w="1020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23:00</w:t>
            </w:r>
          </w:p>
        </w:tc>
      </w:tr>
      <w:tr>
        <w:trPr>
          <w:cantSplit/>
          <w:tblHeader w:val="true"/>
        </w:trPr>
        <w:tc>
          <w:tcPr>
            <w:tcW w:type="dxa" w:w="1020"/>
            <w:shd w:fill="E8F5E9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0,60</w:t>
            </w:r>
          </w:p>
        </w:tc>
        <w:tc>
          <w:tcPr>
            <w:tcW w:type="dxa" w:w="1020"/>
            <w:shd w:fill="E8F5E9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2,90</w:t>
            </w:r>
          </w:p>
        </w:tc>
        <w:tc>
          <w:tcPr>
            <w:tcW w:type="dxa" w:w="1020"/>
            <w:shd w:fill="E8F5E9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5,50</w:t>
            </w:r>
          </w:p>
        </w:tc>
        <w:tc>
          <w:tcPr>
            <w:tcW w:type="dxa" w:w="1020"/>
            <w:shd w:fill="E8F5E9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2,60</w:t>
            </w:r>
          </w:p>
        </w:tc>
        <w:tc>
          <w:tcPr>
            <w:tcW w:type="dxa" w:w="1020"/>
            <w:shd w:fill="E8F5E9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0,90</w:t>
            </w:r>
          </w:p>
        </w:tc>
        <w:tc>
          <w:tcPr>
            <w:tcW w:type="dxa" w:w="1020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0,00</w:t>
            </w:r>
          </w:p>
        </w:tc>
        <w:tc>
          <w:tcPr>
            <w:tcW w:type="dxa" w:w="1020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0,00</w:t>
            </w:r>
          </w:p>
        </w:tc>
        <w:tc>
          <w:tcPr>
            <w:tcW w:type="dxa" w:w="1020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0,00</w:t>
            </w:r>
          </w:p>
        </w:tc>
        <w:tc>
          <w:tcPr>
            <w:tcW w:type="dxa" w:w="1020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0,00</w:t>
            </w:r>
          </w:p>
        </w:tc>
        <w:tc>
          <w:tcPr>
            <w:tcW w:type="dxa" w:w="1020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0,00</w:t>
            </w:r>
          </w:p>
        </w:tc>
      </w:tr>
    </w:tbl>
    <w:p/>
    <w:p>
      <w:pPr>
        <w:keepNext/>
        <w:keepLines/>
      </w:pPr>
      <w:r>
        <w:rPr>
          <w:rFonts w:ascii="Calibri" w:hAnsi="Calibri" w:eastAsia="Calibri"/>
          <w:b w:val="0"/>
          <w:color w:val="646E78"/>
          <w:sz w:val="20"/>
        </w:rPr>
        <w:t>Subtotal listado 22/09: 12,50 m³.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98"/>
        <w:gridCol w:w="5098"/>
      </w:tblGrid>
      <w:tr>
        <w:trPr>
          <w:cantSplit/>
          <w:tblHeader w:val="true"/>
        </w:trPr>
        <w:tc>
          <w:tcPr>
            <w:tcW w:type="dxa" w:w="5098"/>
            <w:shd w:fill="FAFBFC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>
                  <wp:extent cx="2743200" cy="31075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e5_in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1075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98"/>
            <w:shd w:fill="FAFBFC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>
                  <wp:extent cx="2743200" cy="17449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e5_fin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44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true"/>
        </w:trPr>
        <w:tc>
          <w:tcPr>
            <w:tcW w:type="dxa" w:w="5098"/>
            <w:shd w:fill="D6E3F0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Sensus · 5.144 m³ · 22-09-2026 14:30</w:t>
            </w:r>
          </w:p>
        </w:tc>
        <w:tc>
          <w:tcPr>
            <w:tcW w:type="dxa" w:w="5098"/>
            <w:shd w:fill="D6E3F0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Sensus · 5.225 m³ · 28-09-2026 08:57</w:t>
            </w:r>
          </w:p>
        </w:tc>
      </w:tr>
    </w:tbl>
    <w:p/>
    <w:p>
      <w:pPr>
        <w:keepNext/>
        <w:keepLines/>
      </w:pPr>
      <w:r>
        <w:rPr>
          <w:rFonts w:ascii="Calibri" w:hAnsi="Calibri" w:eastAsia="Calibri"/>
          <w:b/>
          <w:color w:val="1F4788"/>
          <w:sz w:val="20"/>
        </w:rPr>
        <w:t>Validación Etapa N°5 — medidor Sensus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cantSplit/>
          <w:tblHeader w:val="true"/>
        </w:trPr>
        <w:tc>
          <w:tcPr>
            <w:tcW w:type="dxa" w:w="1457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ANÁLISIS</w:t>
            </w:r>
          </w:p>
        </w:tc>
        <w:tc>
          <w:tcPr>
            <w:tcW w:type="dxa" w:w="1457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FECHA INICIAL</w:t>
            </w:r>
          </w:p>
        </w:tc>
        <w:tc>
          <w:tcPr>
            <w:tcW w:type="dxa" w:w="1457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57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FECHA FINAL</w:t>
            </w:r>
          </w:p>
        </w:tc>
        <w:tc>
          <w:tcPr>
            <w:tcW w:type="dxa" w:w="1457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57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CONSUMO m³</w:t>
            </w:r>
          </w:p>
        </w:tc>
        <w:tc>
          <w:tcPr>
            <w:tcW w:type="dxa" w:w="1457"/>
            <w:shd w:fill="1F4788" w:val="clear" w:color="auto"/>
          </w:tcPr>
          <w:p>
            <w:pPr>
              <w:spacing w:before="0" w:after="20"/>
              <w:jc w:val="center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HORAS</w:t>
            </w:r>
          </w:p>
        </w:tc>
      </w:tr>
      <w:tr>
        <w:trPr>
          <w:cantSplit/>
          <w:tblHeader w:val="true"/>
        </w:trPr>
        <w:tc>
          <w:tcPr>
            <w:tcW w:type="dxa" w:w="1457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Etapa N°5</w:t>
            </w:r>
          </w:p>
        </w:tc>
        <w:tc>
          <w:tcPr>
            <w:tcW w:type="dxa" w:w="1457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</w:t>
              <w:br/>
              <w:t>14:30</w:t>
            </w:r>
          </w:p>
        </w:tc>
        <w:tc>
          <w:tcPr>
            <w:tcW w:type="dxa" w:w="1457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5.144</w:t>
            </w:r>
          </w:p>
        </w:tc>
        <w:tc>
          <w:tcPr>
            <w:tcW w:type="dxa" w:w="1457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28-09-2026</w:t>
              <w:br/>
              <w:t>08:57</w:t>
            </w:r>
          </w:p>
        </w:tc>
        <w:tc>
          <w:tcPr>
            <w:tcW w:type="dxa" w:w="1457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5.225</w:t>
            </w:r>
          </w:p>
        </w:tc>
        <w:tc>
          <w:tcPr>
            <w:tcW w:type="dxa" w:w="1457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81</w:t>
            </w:r>
          </w:p>
        </w:tc>
        <w:tc>
          <w:tcPr>
            <w:tcW w:type="dxa" w:w="1457"/>
            <w:shd w:fill="FFFFFF" w:val="clear" w:color="auto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139</w:t>
            </w:r>
          </w:p>
        </w:tc>
      </w:tr>
    </w:tbl>
    <w:p>
      <w:pPr>
        <w:keepNext/>
        <w:keepLines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5098"/>
        <w:gridCol w:w="5098"/>
      </w:tblGrid>
      <w:tr>
        <w:trPr>
          <w:cantSplit/>
          <w:tblHeader w:val="true"/>
        </w:trPr>
        <w:tc>
          <w:tcPr>
            <w:tcW w:type="dxa" w:w="5098"/>
            <w:shd w:fill="FFFFFF" w:val="clear" w:color="auto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282828"/>
                <w:sz w:val="20"/>
              </w:rPr>
              <w:t>Total App WES</w:t>
            </w:r>
          </w:p>
        </w:tc>
        <w:tc>
          <w:tcPr>
            <w:tcW w:type="dxa" w:w="5098"/>
            <w:shd w:fill="FFFFFF" w:val="clear" w:color="auto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282828"/>
                <w:sz w:val="20"/>
              </w:rPr>
              <w:t>78,10 m³</w:t>
            </w:r>
          </w:p>
        </w:tc>
      </w:tr>
      <w:tr>
        <w:trPr>
          <w:cantSplit/>
          <w:tblHeader w:val="true"/>
        </w:trPr>
        <w:tc>
          <w:tcPr>
            <w:tcW w:type="dxa" w:w="5098"/>
            <w:shd w:fill="F5F8FB" w:val="clear" w:color="auto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282828"/>
                <w:sz w:val="20"/>
              </w:rPr>
              <w:t>Total Lectura Sensus</w:t>
            </w:r>
          </w:p>
        </w:tc>
        <w:tc>
          <w:tcPr>
            <w:tcW w:type="dxa" w:w="5098"/>
            <w:shd w:fill="F5F8FB" w:val="clear" w:color="auto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282828"/>
                <w:sz w:val="20"/>
              </w:rPr>
              <w:t>81 m³</w:t>
            </w:r>
          </w:p>
        </w:tc>
      </w:tr>
      <w:tr>
        <w:trPr>
          <w:cantSplit/>
          <w:tblHeader w:val="true"/>
        </w:trPr>
        <w:tc>
          <w:tcPr>
            <w:tcW w:type="dxa" w:w="5098"/>
            <w:shd w:fill="E8F5E9" w:val="clear" w:color="auto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98"/>
            <w:shd w:fill="E8F5E9" w:val="clear" w:color="auto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3.6 %</w:t>
            </w:r>
          </w:p>
        </w:tc>
      </w:tr>
    </w:tbl>
    <w:p/>
    <w:p>
      <w:r>
        <w:rPr>
          <w:rFonts w:ascii="Calibri" w:hAnsi="Calibri" w:eastAsia="Calibri"/>
          <w:b w:val="0"/>
          <w:color w:val="282828"/>
          <w:sz w:val="21"/>
        </w:rPr>
        <w:t>Error Sensus vs app: 3.6% (1 − 78,10/81). Aceptable.</w:t>
      </w:r>
    </w:p>
    <w:p>
      <w:r>
        <w:br w:type="page"/>
      </w:r>
    </w:p>
    <w:p>
      <w:r>
        <w:rPr>
          <w:rFonts w:ascii="Calibri" w:hAnsi="Calibri" w:eastAsia="Calibri"/>
          <w:b/>
          <w:color w:val="1F4788"/>
          <w:sz w:val="28"/>
        </w:rPr>
        <w:t>5. Conclusión</w:t>
      </w:r>
    </w:p>
    <w:p>
      <w:r>
        <w:rPr>
          <w:rFonts w:ascii="Calibri" w:hAnsi="Calibri" w:eastAsia="Calibri"/>
          <w:b w:val="0"/>
          <w:color w:val="282828"/>
          <w:sz w:val="21"/>
        </w:rPr>
        <w:t>Se confirma falla de memoria de placa (sensor y voltajes OK). Validación única 22–28/09: Sensus 81 m³ vs app 78,10 m³ (error 3.6%, Aceptable). El agente IA revisará diariamente el caudal vs histórico y techo DN90 (60 m³/h).</w:t>
      </w:r>
    </w:p>
    <w:p>
      <w:pPr>
        <w:spacing w:before="160"/>
      </w:pPr>
      <w:r>
        <w:rPr>
          <w:rFonts w:ascii="Calibri" w:hAnsi="Calibri" w:eastAsia="Calibri"/>
          <w:b w:val="0"/>
          <w:color w:val="646E78"/>
          <w:sz w:val="18"/>
        </w:rPr>
        <w:t>WES · Informe final · Fundo Zapallar · 28-09-2026 19:20</w:t>
      </w:r>
    </w:p>
    <w:sectPr>
      <w:pgSz w:h="15840" w:w="12240" w:orient="portrait"/>
      <w:pgMar w:bottom="3989" w:top="811" w:left="960" w:right="108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