
<file path=[Content_Types].xml><?xml version="1.0" encoding="utf-8"?>
<Types xmlns="http://schemas.openxmlformats.org/package/2006/content-types">
  <Default Extension="bmp" ContentType="image/bmp"/>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4788"/>
        </w:rPr>
        <w:t>Informe interno — Revisión calidad de señal y comparación de caudal</w:t>
      </w:r>
    </w:p>
    <w:p>
      <w:pPr>
        <w:jc w:val="left"/>
      </w:pPr>
      <w:r>
        <w:rPr>
          <w:rFonts w:ascii="Calibri" w:hAnsi="Calibri" w:eastAsia="Calibri"/>
          <w:b w:val="0"/>
          <w:color w:val="595959"/>
          <w:sz w:val="20"/>
        </w:rPr>
        <w:t>Empresa: Fundo Zapallar (000027)</w:t>
        <w:br/>
      </w:r>
      <w:r>
        <w:rPr>
          <w:rFonts w:ascii="Calibri" w:hAnsi="Calibri" w:eastAsia="Calibri"/>
          <w:b w:val="0"/>
          <w:color w:val="595959"/>
          <w:sz w:val="20"/>
        </w:rPr>
        <w:t>Punto: Matriz ESVAL (000027-01)</w:t>
        <w:br/>
      </w:r>
      <w:r>
        <w:rPr>
          <w:rFonts w:ascii="Calibri" w:hAnsi="Calibri" w:eastAsia="Calibri"/>
          <w:b w:val="0"/>
          <w:color w:val="595959"/>
          <w:sz w:val="20"/>
        </w:rPr>
        <w:t>Tipo: Informe técnico interno (terreno)</w:t>
        <w:br/>
      </w:r>
      <w:r>
        <w:rPr>
          <w:rFonts w:ascii="Calibri" w:hAnsi="Calibri" w:eastAsia="Calibri"/>
          <w:b w:val="0"/>
          <w:color w:val="595959"/>
          <w:sz w:val="20"/>
        </w:rPr>
        <w:t>Fecha de elaboración: 22-09-2026 19:28</w:t>
        <w:br/>
      </w:r>
      <w:r>
        <w:rPr>
          <w:rFonts w:ascii="Calibri" w:hAnsi="Calibri" w:eastAsia="Calibri"/>
          <w:b w:val="0"/>
          <w:color w:val="595959"/>
          <w:sz w:val="20"/>
        </w:rPr>
        <w:t>Clasificación: Uso interno WES</w:t>
        <w:br/>
      </w:r>
    </w:p>
    <w:p>
      <w:pPr>
        <w:pStyle w:val="Heading1"/>
      </w:pPr>
      <w:r>
        <w:rPr>
          <w:rFonts w:ascii="Calibri" w:hAnsi="Calibri"/>
          <w:color w:val="1F4788"/>
        </w:rPr>
        <w:t>1. Objetivo</w:t>
      </w:r>
    </w:p>
    <w:p>
      <w:pPr>
        <w:spacing w:after="120" w:line="240" w:lineRule="auto"/>
        <w:jc w:val="both"/>
      </w:pPr>
      <w:r>
        <w:rPr>
          <w:rFonts w:ascii="Calibri" w:hAnsi="Calibri" w:eastAsia="Calibri"/>
          <w:b w:val="0"/>
          <w:sz w:val="22"/>
        </w:rPr>
        <w:t>Documentar las acciones realizadas en terreno sobre el medidor ultrasónico asociado a Matriz ESVAL, ante un desvío respecto del medidor de turbina Itron de ESVAL; registrar las correcciones de configuración de cañería aplicadas y el procedimiento de cálculo del factor de escala para alinear ambas lecturas.</w:t>
      </w:r>
    </w:p>
    <w:p>
      <w:pPr>
        <w:pStyle w:val="Heading1"/>
      </w:pPr>
      <w:r>
        <w:rPr>
          <w:rFonts w:ascii="Calibri" w:hAnsi="Calibri"/>
          <w:color w:val="1F4788"/>
        </w:rPr>
        <w:t>2. Resumen ejecutivo</w:t>
      </w:r>
    </w:p>
    <w:p>
      <w:pPr>
        <w:spacing w:after="120" w:line="240" w:lineRule="auto"/>
        <w:jc w:val="both"/>
      </w:pPr>
      <w:r>
        <w:rPr>
          <w:rFonts w:ascii="Calibri" w:hAnsi="Calibri" w:eastAsia="Calibri"/>
          <w:b w:val="0"/>
          <w:sz w:val="22"/>
        </w:rPr>
        <w:t>La calidad de señal DN/UP e indicador Q estaban desde el inicio por sobre el umbral del fabricante (&gt; 60). La primera comparación volumétrica mostró un desvío importante: turbina Itron/ESVAL 230 L vs ultrasónico 100 L. Se verificó continuidad de cables (OK); se limpió la tubería y se renovó la silicona, mejorando DN/UP a 80 y Q a 96, sin corregir el volumen. Al revisar en detalle el material de la cañería (fierro dúctil EN545 DN100) y contrastarlo con la información de la sanitaria ESVAL, se corrigió el diámetro configurado de 110 mm a 118 mm y se cargó el lining de mortero (3 mm) en el menú de cobertura. La nueva prueba redujo la diferencia a aproximadamente 40 L (aún con desviación). Queda pendiente aplicar un factor de escala calculado confrontando el flujo del menú 00 del ultrasónico contra una medición tipo laboratorio (1 minuto con cronómetro sobre el medidor de turbina).</w:t>
      </w:r>
    </w:p>
    <w:p>
      <w:pPr>
        <w:pStyle w:val="Heading1"/>
      </w:pPr>
      <w:r>
        <w:rPr>
          <w:rFonts w:ascii="Calibri" w:hAnsi="Calibri"/>
          <w:color w:val="1F4788"/>
        </w:rPr>
        <w:t>3. Actividades realizadas</w:t>
      </w:r>
    </w:p>
    <w:p>
      <w:pPr>
        <w:pStyle w:val="Heading2"/>
      </w:pPr>
      <w:r>
        <w:rPr>
          <w:rFonts w:ascii="Calibri" w:hAnsi="Calibri"/>
          <w:color w:val="1F4788"/>
        </w:rPr>
        <w:t>3.1 Revisión de calidad de señal (menú del equipo)</w:t>
      </w:r>
    </w:p>
    <w:p>
      <w:pPr>
        <w:spacing w:after="120" w:line="240" w:lineRule="auto"/>
        <w:jc w:val="both"/>
      </w:pPr>
      <w:r>
        <w:rPr>
          <w:rFonts w:ascii="Calibri" w:hAnsi="Calibri" w:eastAsia="Calibri"/>
          <w:b w:val="0"/>
          <w:sz w:val="22"/>
        </w:rPr>
        <w:t>En el menú de diagnóstico del medidor ultrasónico se evaluó la calidad de señal entre transductores (DN y UP) y, en el mismo menú, la calidad del sonido identificada como Q.</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eastAsia="Calibri"/>
                <w:b/>
                <w:color w:val="1F4788"/>
                <w:sz w:val="20"/>
              </w:rPr>
              <w:t>Parámetro</w:t>
            </w:r>
          </w:p>
        </w:tc>
        <w:tc>
          <w:tcPr>
            <w:tcW w:type="dxa" w:w="2436"/>
          </w:tcPr>
          <w:p>
            <w:r/>
            <w:r>
              <w:rPr>
                <w:rFonts w:ascii="Calibri" w:hAnsi="Calibri" w:eastAsia="Calibri"/>
                <w:b/>
                <w:color w:val="1F4788"/>
                <w:sz w:val="20"/>
              </w:rPr>
              <w:t>Lectura inicial</w:t>
            </w:r>
          </w:p>
        </w:tc>
        <w:tc>
          <w:tcPr>
            <w:tcW w:type="dxa" w:w="2436"/>
          </w:tcPr>
          <w:p>
            <w:r/>
            <w:r>
              <w:rPr>
                <w:rFonts w:ascii="Calibri" w:hAnsi="Calibri" w:eastAsia="Calibri"/>
                <w:b/>
                <w:color w:val="1F4788"/>
                <w:sz w:val="20"/>
              </w:rPr>
              <w:t>Tras limpieza + silicona</w:t>
            </w:r>
          </w:p>
        </w:tc>
        <w:tc>
          <w:tcPr>
            <w:tcW w:type="dxa" w:w="2436"/>
          </w:tcPr>
          <w:p>
            <w:r/>
            <w:r>
              <w:rPr>
                <w:rFonts w:ascii="Calibri" w:hAnsi="Calibri" w:eastAsia="Calibri"/>
                <w:b/>
                <w:color w:val="1F4788"/>
                <w:sz w:val="20"/>
              </w:rPr>
              <w:t>Recomendación fabricante</w:t>
            </w:r>
          </w:p>
        </w:tc>
      </w:tr>
      <w:tr>
        <w:tc>
          <w:tcPr>
            <w:tcW w:type="dxa" w:w="2436"/>
          </w:tcPr>
          <w:p>
            <w:r/>
            <w:r>
              <w:rPr>
                <w:rFonts w:ascii="Calibri" w:hAnsi="Calibri" w:eastAsia="Calibri"/>
                <w:b w:val="0"/>
                <w:sz w:val="20"/>
              </w:rPr>
              <w:t>Calidad DN / UP</w:t>
            </w:r>
          </w:p>
        </w:tc>
        <w:tc>
          <w:tcPr>
            <w:tcW w:type="dxa" w:w="2436"/>
          </w:tcPr>
          <w:p>
            <w:r/>
            <w:r>
              <w:rPr>
                <w:rFonts w:ascii="Calibri" w:hAnsi="Calibri" w:eastAsia="Calibri"/>
                <w:b w:val="0"/>
                <w:sz w:val="20"/>
              </w:rPr>
              <w:t>76.7</w:t>
            </w:r>
          </w:p>
        </w:tc>
        <w:tc>
          <w:tcPr>
            <w:tcW w:type="dxa" w:w="2436"/>
          </w:tcPr>
          <w:p>
            <w:r/>
            <w:r>
              <w:rPr>
                <w:rFonts w:ascii="Calibri" w:hAnsi="Calibri" w:eastAsia="Calibri"/>
                <w:b w:val="0"/>
                <w:sz w:val="20"/>
              </w:rPr>
              <w:t>80</w:t>
            </w:r>
          </w:p>
        </w:tc>
        <w:tc>
          <w:tcPr>
            <w:tcW w:type="dxa" w:w="2436"/>
          </w:tcPr>
          <w:p>
            <w:r/>
            <w:r>
              <w:rPr>
                <w:rFonts w:ascii="Calibri" w:hAnsi="Calibri" w:eastAsia="Calibri"/>
                <w:b w:val="0"/>
                <w:sz w:val="20"/>
              </w:rPr>
              <w:t>&gt; 60</w:t>
            </w:r>
          </w:p>
        </w:tc>
      </w:tr>
      <w:tr>
        <w:tc>
          <w:tcPr>
            <w:tcW w:type="dxa" w:w="2436"/>
          </w:tcPr>
          <w:p>
            <w:r/>
            <w:r>
              <w:rPr>
                <w:rFonts w:ascii="Calibri" w:hAnsi="Calibri" w:eastAsia="Calibri"/>
                <w:b w:val="0"/>
                <w:sz w:val="20"/>
              </w:rPr>
              <w:t>Calidad Q (sonido)</w:t>
            </w:r>
          </w:p>
        </w:tc>
        <w:tc>
          <w:tcPr>
            <w:tcW w:type="dxa" w:w="2436"/>
          </w:tcPr>
          <w:p>
            <w:r/>
            <w:r>
              <w:rPr>
                <w:rFonts w:ascii="Calibri" w:hAnsi="Calibri" w:eastAsia="Calibri"/>
                <w:b w:val="0"/>
                <w:sz w:val="20"/>
              </w:rPr>
              <w:t>93</w:t>
            </w:r>
          </w:p>
        </w:tc>
        <w:tc>
          <w:tcPr>
            <w:tcW w:type="dxa" w:w="2436"/>
          </w:tcPr>
          <w:p>
            <w:r/>
            <w:r>
              <w:rPr>
                <w:rFonts w:ascii="Calibri" w:hAnsi="Calibri" w:eastAsia="Calibri"/>
                <w:b w:val="0"/>
                <w:sz w:val="20"/>
              </w:rPr>
              <w:t>96</w:t>
            </w:r>
          </w:p>
        </w:tc>
        <w:tc>
          <w:tcPr>
            <w:tcW w:type="dxa" w:w="2436"/>
          </w:tcPr>
          <w:p>
            <w:r/>
            <w:r>
              <w:rPr>
                <w:rFonts w:ascii="Calibri" w:hAnsi="Calibri" w:eastAsia="Calibri"/>
                <w:b w:val="0"/>
                <w:sz w:val="20"/>
              </w:rPr>
              <w:t>&gt; 60</w:t>
            </w:r>
          </w:p>
        </w:tc>
      </w:tr>
      <w:tr>
        <w:tc>
          <w:tcPr>
            <w:tcW w:type="dxa" w:w="2436"/>
          </w:tcPr>
          <w:p>
            <w:r/>
            <w:r>
              <w:rPr>
                <w:rFonts w:ascii="Calibri" w:hAnsi="Calibri" w:eastAsia="Calibri"/>
                <w:b w:val="0"/>
                <w:sz w:val="20"/>
              </w:rPr>
              <w:t>Estado vs umbral</w:t>
            </w:r>
          </w:p>
        </w:tc>
        <w:tc>
          <w:tcPr>
            <w:tcW w:type="dxa" w:w="2436"/>
          </w:tcPr>
          <w:p>
            <w:r/>
            <w:r>
              <w:rPr>
                <w:rFonts w:ascii="Calibri" w:hAnsi="Calibri" w:eastAsia="Calibri"/>
                <w:b w:val="0"/>
                <w:sz w:val="20"/>
              </w:rPr>
              <w:t>Dentro de rango</w:t>
            </w:r>
          </w:p>
        </w:tc>
        <w:tc>
          <w:tcPr>
            <w:tcW w:type="dxa" w:w="2436"/>
          </w:tcPr>
          <w:p>
            <w:r/>
            <w:r>
              <w:rPr>
                <w:rFonts w:ascii="Calibri" w:hAnsi="Calibri" w:eastAsia="Calibri"/>
                <w:b w:val="0"/>
                <w:sz w:val="20"/>
              </w:rPr>
              <w:t>Dentro de rango (mejorado)</w:t>
            </w:r>
          </w:p>
        </w:tc>
        <w:tc>
          <w:tcPr>
            <w:tcW w:type="dxa" w:w="2436"/>
          </w:tcPr>
          <w:p>
            <w:r/>
            <w:r>
              <w:rPr>
                <w:rFonts w:ascii="Calibri" w:hAnsi="Calibri" w:eastAsia="Calibri"/>
                <w:b w:val="0"/>
                <w:sz w:val="20"/>
              </w:rPr>
              <w:t>—</w:t>
            </w:r>
          </w:p>
        </w:tc>
      </w:tr>
    </w:tbl>
    <w:p/>
    <w:p>
      <w:pPr>
        <w:pStyle w:val="ListBullet"/>
        <w:spacing w:after="60"/>
      </w:pPr>
      <w:r>
        <w:rPr>
          <w:rFonts w:ascii="Calibri" w:hAnsi="Calibri" w:eastAsia="Calibri"/>
          <w:b w:val="0"/>
          <w:sz w:val="22"/>
        </w:rPr>
        <w:t>Lectura inicial DN/UP: 76.7 (recomendación fabricante: sobre 60).</w:t>
      </w:r>
    </w:p>
    <w:p>
      <w:pPr>
        <w:pStyle w:val="ListBullet"/>
        <w:spacing w:after="60"/>
      </w:pPr>
      <w:r>
        <w:rPr>
          <w:rFonts w:ascii="Calibri" w:hAnsi="Calibri" w:eastAsia="Calibri"/>
          <w:b w:val="0"/>
          <w:sz w:val="22"/>
        </w:rPr>
        <w:t>Lectura inicial Q: 93 (recomendación fabricante: sobre 60).</w:t>
      </w:r>
    </w:p>
    <w:p>
      <w:pPr>
        <w:pStyle w:val="ListBullet"/>
        <w:spacing w:after="60"/>
      </w:pPr>
      <w:r>
        <w:rPr>
          <w:rFonts w:ascii="Calibri" w:hAnsi="Calibri" w:eastAsia="Calibri"/>
          <w:b w:val="0"/>
          <w:sz w:val="22"/>
        </w:rPr>
        <w:t>Conclusión parcial: calidad de señal y de sonido dentro de rango; no son la causa primaria del desvío de caudal.</w:t>
      </w:r>
    </w:p>
    <w:p>
      <w:pPr>
        <w:pStyle w:val="Heading2"/>
      </w:pPr>
      <w:r>
        <w:rPr>
          <w:rFonts w:ascii="Calibri" w:hAnsi="Calibri"/>
          <w:color w:val="1F4788"/>
        </w:rPr>
        <w:t>3.2 Comparación inicial por pulso: ultrasónico vs turbina Itron (ESVAL)</w:t>
      </w:r>
    </w:p>
    <w:p>
      <w:pPr>
        <w:spacing w:after="120" w:line="240" w:lineRule="auto"/>
        <w:jc w:val="both"/>
      </w:pPr>
      <w:r>
        <w:rPr>
          <w:rFonts w:ascii="Calibri" w:hAnsi="Calibri" w:eastAsia="Calibri"/>
          <w:b w:val="0"/>
          <w:sz w:val="22"/>
        </w:rPr>
        <w:t>Se contrastó el volumen por pulso del medidor ultrasónico WES contra el medidor de turbina marca Itron (referencia ESVAL) en la misma ventana de prueba.</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Calibri" w:hAnsi="Calibri" w:eastAsia="Calibri"/>
                <w:b/>
                <w:color w:val="1F4788"/>
                <w:sz w:val="20"/>
              </w:rPr>
              <w:t>Equipo</w:t>
            </w:r>
          </w:p>
        </w:tc>
        <w:tc>
          <w:tcPr>
            <w:tcW w:type="dxa" w:w="3249"/>
          </w:tcPr>
          <w:p>
            <w:r/>
            <w:r>
              <w:rPr>
                <w:rFonts w:ascii="Calibri" w:hAnsi="Calibri" w:eastAsia="Calibri"/>
                <w:b/>
                <w:color w:val="1F4788"/>
                <w:sz w:val="20"/>
              </w:rPr>
              <w:t>Volumen registrado</w:t>
            </w:r>
          </w:p>
        </w:tc>
        <w:tc>
          <w:tcPr>
            <w:tcW w:type="dxa" w:w="3249"/>
          </w:tcPr>
          <w:p>
            <w:r/>
            <w:r>
              <w:rPr>
                <w:rFonts w:ascii="Calibri" w:hAnsi="Calibri" w:eastAsia="Calibri"/>
                <w:b/>
                <w:color w:val="1F4788"/>
                <w:sz w:val="20"/>
              </w:rPr>
              <w:t>Observación</w:t>
            </w:r>
          </w:p>
        </w:tc>
      </w:tr>
      <w:tr>
        <w:tc>
          <w:tcPr>
            <w:tcW w:type="dxa" w:w="3249"/>
          </w:tcPr>
          <w:p>
            <w:r/>
            <w:r>
              <w:rPr>
                <w:rFonts w:ascii="Calibri" w:hAnsi="Calibri" w:eastAsia="Calibri"/>
                <w:b w:val="0"/>
                <w:sz w:val="20"/>
              </w:rPr>
              <w:t>Medidor turbina Itron (referencia ESVAL)</w:t>
            </w:r>
          </w:p>
        </w:tc>
        <w:tc>
          <w:tcPr>
            <w:tcW w:type="dxa" w:w="3249"/>
          </w:tcPr>
          <w:p>
            <w:r/>
            <w:r>
              <w:rPr>
                <w:rFonts w:ascii="Calibri" w:hAnsi="Calibri" w:eastAsia="Calibri"/>
                <w:b w:val="0"/>
                <w:sz w:val="20"/>
              </w:rPr>
              <w:t>230 litros</w:t>
            </w:r>
          </w:p>
        </w:tc>
        <w:tc>
          <w:tcPr>
            <w:tcW w:type="dxa" w:w="3249"/>
          </w:tcPr>
          <w:p>
            <w:r/>
            <w:r>
              <w:rPr>
                <w:rFonts w:ascii="Calibri" w:hAnsi="Calibri" w:eastAsia="Calibri"/>
                <w:b w:val="0"/>
                <w:sz w:val="20"/>
              </w:rPr>
              <w:t>Referencia de red / facturación</w:t>
            </w:r>
          </w:p>
        </w:tc>
      </w:tr>
      <w:tr>
        <w:tc>
          <w:tcPr>
            <w:tcW w:type="dxa" w:w="3249"/>
          </w:tcPr>
          <w:p>
            <w:r/>
            <w:r>
              <w:rPr>
                <w:rFonts w:ascii="Calibri" w:hAnsi="Calibri" w:eastAsia="Calibri"/>
                <w:b w:val="0"/>
                <w:sz w:val="20"/>
              </w:rPr>
              <w:t>Medidor ultrasónico WES (por pulso)</w:t>
            </w:r>
          </w:p>
        </w:tc>
        <w:tc>
          <w:tcPr>
            <w:tcW w:type="dxa" w:w="3249"/>
          </w:tcPr>
          <w:p>
            <w:r/>
            <w:r>
              <w:rPr>
                <w:rFonts w:ascii="Calibri" w:hAnsi="Calibri" w:eastAsia="Calibri"/>
                <w:b w:val="0"/>
                <w:sz w:val="20"/>
              </w:rPr>
              <w:t>100 litros</w:t>
            </w:r>
          </w:p>
        </w:tc>
        <w:tc>
          <w:tcPr>
            <w:tcW w:type="dxa" w:w="3249"/>
          </w:tcPr>
          <w:p>
            <w:r/>
            <w:r>
              <w:rPr>
                <w:rFonts w:ascii="Calibri" w:hAnsi="Calibri" w:eastAsia="Calibri"/>
                <w:b w:val="0"/>
                <w:sz w:val="20"/>
              </w:rPr>
              <w:t>Misma ventana de prueba</w:t>
            </w:r>
          </w:p>
        </w:tc>
      </w:tr>
      <w:tr>
        <w:tc>
          <w:tcPr>
            <w:tcW w:type="dxa" w:w="3249"/>
          </w:tcPr>
          <w:p>
            <w:r/>
            <w:r>
              <w:rPr>
                <w:rFonts w:ascii="Calibri" w:hAnsi="Calibri" w:eastAsia="Calibri"/>
                <w:b w:val="0"/>
                <w:sz w:val="20"/>
              </w:rPr>
              <w:t>Diferencia</w:t>
            </w:r>
          </w:p>
        </w:tc>
        <w:tc>
          <w:tcPr>
            <w:tcW w:type="dxa" w:w="3249"/>
          </w:tcPr>
          <w:p>
            <w:r/>
            <w:r>
              <w:rPr>
                <w:rFonts w:ascii="Calibri" w:hAnsi="Calibri" w:eastAsia="Calibri"/>
                <w:b w:val="0"/>
                <w:sz w:val="20"/>
              </w:rPr>
              <w:t>130 litros (57 %)</w:t>
            </w:r>
          </w:p>
        </w:tc>
        <w:tc>
          <w:tcPr>
            <w:tcW w:type="dxa" w:w="3249"/>
          </w:tcPr>
          <w:p>
            <w:r/>
            <w:r>
              <w:rPr>
                <w:rFonts w:ascii="Calibri" w:hAnsi="Calibri" w:eastAsia="Calibri"/>
                <w:b w:val="0"/>
                <w:sz w:val="20"/>
              </w:rPr>
              <w:t>Desvío relevante; no atribuible a calidad de señal</w:t>
            </w:r>
          </w:p>
        </w:tc>
      </w:tr>
    </w:tbl>
    <w:p/>
    <w:p>
      <w:pPr>
        <w:pStyle w:val="ListBullet"/>
        <w:spacing w:after="60"/>
      </w:pPr>
      <w:r>
        <w:rPr>
          <w:rFonts w:ascii="Calibri" w:hAnsi="Calibri" w:eastAsia="Calibri"/>
          <w:b w:val="0"/>
          <w:sz w:val="22"/>
        </w:rPr>
        <w:t>Resultado: rango muy distante — ESVAL/Itron 230 L vs ultrasónico 100 L (~43 % del volumen de referencia).</w:t>
      </w:r>
    </w:p>
    <w:p>
      <w:pPr>
        <w:pStyle w:val="Heading2"/>
      </w:pPr>
      <w:r>
        <w:rPr>
          <w:rFonts w:ascii="Calibri" w:hAnsi="Calibri"/>
          <w:color w:val="1F4788"/>
        </w:rPr>
        <w:t>3.3 Prueba 1 — Continuidad de cables</w:t>
      </w:r>
    </w:p>
    <w:p>
      <w:pPr>
        <w:spacing w:after="120" w:line="240" w:lineRule="auto"/>
        <w:jc w:val="both"/>
      </w:pPr>
      <w:r>
        <w:rPr>
          <w:rFonts w:ascii="Calibri" w:hAnsi="Calibri" w:eastAsia="Calibri"/>
          <w:b w:val="0"/>
          <w:sz w:val="22"/>
        </w:rPr>
        <w:t>Primera prueba de campo: asegurar la continuidad eléctrica de los cables de los transductores. Resultado: continuidad correcta. No se identificó falla de cableado que explique el desvío.</w:t>
      </w:r>
    </w:p>
    <w:p>
      <w:pPr>
        <w:pStyle w:val="Heading2"/>
      </w:pPr>
      <w:r>
        <w:rPr>
          <w:rFonts w:ascii="Calibri" w:hAnsi="Calibri"/>
          <w:color w:val="1F4788"/>
        </w:rPr>
        <w:t>3.4 Prueba 2 — Limpieza de tubería y renovación de silicona</w:t>
      </w:r>
    </w:p>
    <w:p>
      <w:pPr>
        <w:spacing w:after="120" w:line="240" w:lineRule="auto"/>
        <w:jc w:val="both"/>
      </w:pPr>
      <w:r>
        <w:rPr>
          <w:rFonts w:ascii="Calibri" w:hAnsi="Calibri" w:eastAsia="Calibri"/>
          <w:b w:val="0"/>
          <w:sz w:val="22"/>
        </w:rPr>
        <w:t>Antes de renovar la silicona de acoplamiento, se limpió la superficie de la tubería en la zona de montaje de los transductores, para asegurar un acoplamiento acústico correcto y una lectura confiable. Luego se cambió/renovó la silicona.</w:t>
      </w:r>
    </w:p>
    <w:p>
      <w:pPr>
        <w:pStyle w:val="ListBullet"/>
        <w:spacing w:after="60"/>
      </w:pPr>
      <w:r>
        <w:rPr>
          <w:rFonts w:ascii="Calibri" w:hAnsi="Calibri" w:eastAsia="Calibri"/>
          <w:b w:val="0"/>
          <w:sz w:val="22"/>
        </w:rPr>
        <w:t>DN / UP: de 76.7 a 80.</w:t>
      </w:r>
    </w:p>
    <w:p>
      <w:pPr>
        <w:pStyle w:val="ListBullet"/>
        <w:spacing w:after="60"/>
      </w:pPr>
      <w:r>
        <w:rPr>
          <w:rFonts w:ascii="Calibri" w:hAnsi="Calibri" w:eastAsia="Calibri"/>
          <w:b w:val="0"/>
          <w:sz w:val="22"/>
        </w:rPr>
        <w:t>Q: de 93 a 96.</w:t>
      </w:r>
    </w:p>
    <w:p>
      <w:pPr>
        <w:spacing w:after="120" w:line="240" w:lineRule="auto"/>
        <w:jc w:val="both"/>
      </w:pPr>
      <w:r>
        <w:rPr>
          <w:rFonts w:ascii="Calibri" w:hAnsi="Calibri" w:eastAsia="Calibri"/>
          <w:b w:val="0"/>
          <w:sz w:val="22"/>
        </w:rPr>
        <w:t>La mejora confirma mejor acoplamiento acústico, pero no resolvió la discrepancia volumétrica frente al medidor Itron. Continuidad + limpieza/silicona no generaron cambio operativo en el problema de medición de caudal.</w:t>
      </w:r>
    </w:p>
    <w:p>
      <w:pPr>
        <w:pStyle w:val="Heading2"/>
      </w:pPr>
      <w:r>
        <w:rPr>
          <w:rFonts w:ascii="Calibri" w:hAnsi="Calibri"/>
          <w:color w:val="1F4788"/>
        </w:rPr>
        <w:t>3.5 Hipótesis y validación de configuración de cañería</w:t>
      </w:r>
    </w:p>
    <w:p>
      <w:pPr>
        <w:spacing w:after="120" w:line="240" w:lineRule="auto"/>
        <w:jc w:val="both"/>
      </w:pPr>
      <w:r>
        <w:rPr>
          <w:rFonts w:ascii="Calibri" w:hAnsi="Calibri" w:eastAsia="Calibri"/>
          <w:b w:val="0"/>
          <w:sz w:val="22"/>
        </w:rPr>
        <w:t>Ante lo anterior se levantó la hipótesis de que la cañería configurada no correspondía a la tubería real (valores de configuración incorrectos). Se revisó la cañería con mayor detalle, identificando el material y el marcado físico en obra.</w:t>
      </w:r>
    </w:p>
    <w:p>
      <w:pPr>
        <w:pStyle w:val="ListBullet"/>
        <w:spacing w:after="60"/>
      </w:pPr>
      <w:r>
        <w:rPr>
          <w:rFonts w:ascii="Calibri" w:hAnsi="Calibri" w:eastAsia="Calibri"/>
          <w:b w:val="0"/>
          <w:sz w:val="22"/>
        </w:rPr>
        <w:t>Marcado visible en la pieza: EN545 / DN100 / PN16 (fierro dúctil según EN545).</w:t>
      </w:r>
    </w:p>
    <w:p>
      <w:pPr>
        <w:pStyle w:val="ListBullet"/>
        <w:spacing w:after="60"/>
      </w:pPr>
      <w:r>
        <w:rPr>
          <w:rFonts w:ascii="Calibri" w:hAnsi="Calibri" w:eastAsia="Calibri"/>
          <w:b w:val="0"/>
          <w:sz w:val="22"/>
        </w:rPr>
        <w:t>Validación con información publicada / ficha de la sanitaria ESVAL: diámetro de 118 mm (no 110 mm como estaba configurado).</w:t>
      </w:r>
    </w:p>
    <w:p>
      <w:pPr>
        <w:pStyle w:val="ListBullet"/>
        <w:spacing w:after="60"/>
      </w:pPr>
      <w:r>
        <w:rPr>
          <w:rFonts w:ascii="Calibri" w:hAnsi="Calibri" w:eastAsia="Calibri"/>
          <w:b w:val="0"/>
          <w:sz w:val="22"/>
        </w:rPr>
        <w:t>Las cañerías de fierro dúctil de este tipo traen mortero inyectado (lining interno). En el menú de cobertura del sensor debía seleccionarse mortero e indicar el espesor: 3 mm en este caso.</w:t>
      </w:r>
    </w:p>
    <w:p>
      <w:pPr>
        <w:jc w:val="center"/>
      </w:pPr>
      <w:r>
        <w:drawing>
          <wp:inline xmlns:a="http://schemas.openxmlformats.org/drawingml/2006/main" xmlns:pic="http://schemas.openxmlformats.org/drawingml/2006/picture">
            <wp:extent cx="4500000" cy="6000000"/>
            <wp:docPr id="1" name="Picture 1"/>
            <wp:cNvGraphicFramePr>
              <a:graphicFrameLocks noChangeAspect="1"/>
            </wp:cNvGraphicFramePr>
            <a:graphic>
              <a:graphicData uri="http://schemas.openxmlformats.org/drawingml/2006/picture">
                <pic:pic>
                  <pic:nvPicPr>
                    <pic:cNvPr id="0" name="caneria_EN545_DN100_PN16.jpg"/>
                    <pic:cNvPicPr/>
                  </pic:nvPicPr>
                  <pic:blipFill>
                    <a:blip r:embed="rId10"/>
                    <a:stretch>
                      <a:fillRect/>
                    </a:stretch>
                  </pic:blipFill>
                  <pic:spPr>
                    <a:xfrm>
                      <a:off x="0" y="0"/>
                      <a:ext cx="4500000" cy="6000000"/>
                    </a:xfrm>
                    <a:prstGeom prst="rect"/>
                  </pic:spPr>
                </pic:pic>
              </a:graphicData>
            </a:graphic>
          </wp:inline>
        </w:drawing>
      </w:r>
    </w:p>
    <w:p>
      <w:pPr>
        <w:jc w:val="center"/>
      </w:pPr>
      <w:r>
        <w:rPr>
          <w:rFonts w:ascii="Calibri" w:hAnsi="Calibri" w:eastAsia="Calibri"/>
          <w:b w:val="0"/>
          <w:color w:val="595959"/>
          <w:sz w:val="18"/>
        </w:rPr>
        <w:t>Figura 1. Evidencia en terreno — cañería EN545 / DN100 / PN16 (Matriz ESVAL).</w:t>
      </w:r>
    </w:p>
    <w:p>
      <w:pPr>
        <w:spacing w:after="120" w:line="240" w:lineRule="auto"/>
        <w:jc w:val="both"/>
      </w:pPr>
      <w:r>
        <w:rPr>
          <w:rFonts w:ascii="Calibri" w:hAnsi="Calibri" w:eastAsia="Calibri"/>
          <w:b w:val="0"/>
          <w:sz w:val="22"/>
        </w:rPr>
        <w:t>Correcciones aplicadas en la configuración del medidor ultrasónico:</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Calibri" w:hAnsi="Calibri" w:eastAsia="Calibri"/>
                <w:b/>
                <w:color w:val="1F4788"/>
                <w:sz w:val="20"/>
              </w:rPr>
              <w:t>Parámetro</w:t>
            </w:r>
          </w:p>
        </w:tc>
        <w:tc>
          <w:tcPr>
            <w:tcW w:type="dxa" w:w="3249"/>
          </w:tcPr>
          <w:p>
            <w:r/>
            <w:r>
              <w:rPr>
                <w:rFonts w:ascii="Calibri" w:hAnsi="Calibri" w:eastAsia="Calibri"/>
                <w:b/>
                <w:color w:val="1F4788"/>
                <w:sz w:val="20"/>
              </w:rPr>
              <w:t>Configuración previa</w:t>
            </w:r>
          </w:p>
        </w:tc>
        <w:tc>
          <w:tcPr>
            <w:tcW w:type="dxa" w:w="3249"/>
          </w:tcPr>
          <w:p>
            <w:r/>
            <w:r>
              <w:rPr>
                <w:rFonts w:ascii="Calibri" w:hAnsi="Calibri" w:eastAsia="Calibri"/>
                <w:b/>
                <w:color w:val="1F4788"/>
                <w:sz w:val="20"/>
              </w:rPr>
              <w:t>Corrección aplicada</w:t>
            </w:r>
          </w:p>
        </w:tc>
      </w:tr>
      <w:tr>
        <w:tc>
          <w:tcPr>
            <w:tcW w:type="dxa" w:w="3249"/>
          </w:tcPr>
          <w:p>
            <w:r/>
            <w:r>
              <w:rPr>
                <w:rFonts w:ascii="Calibri" w:hAnsi="Calibri" w:eastAsia="Calibri"/>
                <w:b w:val="0"/>
                <w:sz w:val="20"/>
              </w:rPr>
              <w:t>Material</w:t>
            </w:r>
          </w:p>
        </w:tc>
        <w:tc>
          <w:tcPr>
            <w:tcW w:type="dxa" w:w="3249"/>
          </w:tcPr>
          <w:p>
            <w:r/>
            <w:r>
              <w:rPr>
                <w:rFonts w:ascii="Calibri" w:hAnsi="Calibri" w:eastAsia="Calibri"/>
                <w:b w:val="0"/>
                <w:sz w:val="20"/>
              </w:rPr>
              <w:t>No validado / incompleto</w:t>
            </w:r>
          </w:p>
        </w:tc>
        <w:tc>
          <w:tcPr>
            <w:tcW w:type="dxa" w:w="3249"/>
          </w:tcPr>
          <w:p>
            <w:r/>
            <w:r>
              <w:rPr>
                <w:rFonts w:ascii="Calibri" w:hAnsi="Calibri" w:eastAsia="Calibri"/>
                <w:b w:val="0"/>
                <w:sz w:val="20"/>
              </w:rPr>
              <w:t>Fierro dúctil (EN545)</w:t>
            </w:r>
          </w:p>
        </w:tc>
      </w:tr>
      <w:tr>
        <w:tc>
          <w:tcPr>
            <w:tcW w:type="dxa" w:w="3249"/>
          </w:tcPr>
          <w:p>
            <w:r/>
            <w:r>
              <w:rPr>
                <w:rFonts w:ascii="Calibri" w:hAnsi="Calibri" w:eastAsia="Calibri"/>
                <w:b w:val="0"/>
                <w:sz w:val="20"/>
              </w:rPr>
              <w:t>Diámetro (mm)</w:t>
            </w:r>
          </w:p>
        </w:tc>
        <w:tc>
          <w:tcPr>
            <w:tcW w:type="dxa" w:w="3249"/>
          </w:tcPr>
          <w:p>
            <w:r/>
            <w:r>
              <w:rPr>
                <w:rFonts w:ascii="Calibri" w:hAnsi="Calibri" w:eastAsia="Calibri"/>
                <w:b w:val="0"/>
                <w:sz w:val="20"/>
              </w:rPr>
              <w:t>110 mm</w:t>
            </w:r>
          </w:p>
        </w:tc>
        <w:tc>
          <w:tcPr>
            <w:tcW w:type="dxa" w:w="3249"/>
          </w:tcPr>
          <w:p>
            <w:r/>
            <w:r>
              <w:rPr>
                <w:rFonts w:ascii="Calibri" w:hAnsi="Calibri" w:eastAsia="Calibri"/>
                <w:b w:val="0"/>
                <w:sz w:val="20"/>
              </w:rPr>
              <w:t>118 mm (ficha sanitaria ESVAL)</w:t>
            </w:r>
          </w:p>
        </w:tc>
      </w:tr>
      <w:tr>
        <w:tc>
          <w:tcPr>
            <w:tcW w:type="dxa" w:w="3249"/>
          </w:tcPr>
          <w:p>
            <w:r/>
            <w:r>
              <w:rPr>
                <w:rFonts w:ascii="Calibri" w:hAnsi="Calibri" w:eastAsia="Calibri"/>
                <w:b w:val="0"/>
                <w:sz w:val="20"/>
              </w:rPr>
              <w:t>Menú de cobertura (lining)</w:t>
            </w:r>
          </w:p>
        </w:tc>
        <w:tc>
          <w:tcPr>
            <w:tcW w:type="dxa" w:w="3249"/>
          </w:tcPr>
          <w:p>
            <w:r/>
            <w:r>
              <w:rPr>
                <w:rFonts w:ascii="Calibri" w:hAnsi="Calibri" w:eastAsia="Calibri"/>
                <w:b w:val="0"/>
                <w:sz w:val="20"/>
              </w:rPr>
              <w:t>Sin mortero / no aplicado</w:t>
            </w:r>
          </w:p>
        </w:tc>
        <w:tc>
          <w:tcPr>
            <w:tcW w:type="dxa" w:w="3249"/>
          </w:tcPr>
          <w:p>
            <w:r/>
            <w:r>
              <w:rPr>
                <w:rFonts w:ascii="Calibri" w:hAnsi="Calibri" w:eastAsia="Calibri"/>
                <w:b w:val="0"/>
                <w:sz w:val="20"/>
              </w:rPr>
              <w:t>Mortero — espesor 3 mm</w:t>
            </w:r>
          </w:p>
        </w:tc>
      </w:tr>
      <w:tr>
        <w:tc>
          <w:tcPr>
            <w:tcW w:type="dxa" w:w="3249"/>
          </w:tcPr>
          <w:p>
            <w:r/>
            <w:r>
              <w:rPr>
                <w:rFonts w:ascii="Calibri" w:hAnsi="Calibri" w:eastAsia="Calibri"/>
                <w:b w:val="0"/>
                <w:sz w:val="20"/>
              </w:rPr>
              <w:t>Evidencia física</w:t>
            </w:r>
          </w:p>
        </w:tc>
        <w:tc>
          <w:tcPr>
            <w:tcW w:type="dxa" w:w="3249"/>
          </w:tcPr>
          <w:p>
            <w:r/>
            <w:r>
              <w:rPr>
                <w:rFonts w:ascii="Calibri" w:hAnsi="Calibri" w:eastAsia="Calibri"/>
                <w:b w:val="0"/>
                <w:sz w:val="20"/>
              </w:rPr>
              <w:t>—</w:t>
            </w:r>
          </w:p>
        </w:tc>
        <w:tc>
          <w:tcPr>
            <w:tcW w:type="dxa" w:w="3249"/>
          </w:tcPr>
          <w:p>
            <w:r/>
            <w:r>
              <w:rPr>
                <w:rFonts w:ascii="Calibri" w:hAnsi="Calibri" w:eastAsia="Calibri"/>
                <w:b w:val="0"/>
                <w:sz w:val="20"/>
              </w:rPr>
              <w:t>Marcado en obra: EN545 / DN100 / PN16</w:t>
            </w:r>
          </w:p>
        </w:tc>
      </w:tr>
    </w:tbl>
    <w:p/>
    <w:p>
      <w:pPr>
        <w:pStyle w:val="Heading2"/>
      </w:pPr>
      <w:r>
        <w:rPr>
          <w:rFonts w:ascii="Calibri" w:hAnsi="Calibri"/>
          <w:color w:val="1F4788"/>
        </w:rPr>
        <w:t>3.6 Nueva prueba volumétrica tras corrección de configuración</w:t>
      </w:r>
    </w:p>
    <w:p>
      <w:pPr>
        <w:spacing w:after="120" w:line="240" w:lineRule="auto"/>
        <w:jc w:val="both"/>
      </w:pPr>
      <w:r>
        <w:rPr>
          <w:rFonts w:ascii="Calibri" w:hAnsi="Calibri" w:eastAsia="Calibri"/>
          <w:b w:val="0"/>
          <w:sz w:val="22"/>
        </w:rPr>
        <w:t>Luego de corregir diámetro y cobertura (mortero), se repitió la comparación ultrasónico vs turbina Itron/ESVAL.</w:t>
      </w:r>
    </w:p>
    <w:p>
      <w:pPr>
        <w:pStyle w:val="ListBullet"/>
        <w:spacing w:after="60"/>
      </w:pPr>
      <w:r>
        <w:rPr>
          <w:rFonts w:ascii="Calibri" w:hAnsi="Calibri" w:eastAsia="Calibri"/>
          <w:b w:val="0"/>
          <w:sz w:val="22"/>
        </w:rPr>
        <w:t>La diferencia se redujo a aproximadamente 40 litros: mejora clara respecto de los 130 L de desvío inicial, pero aún con desviación residual.</w:t>
      </w:r>
    </w:p>
    <w:p>
      <w:pPr>
        <w:pStyle w:val="ListBullet"/>
        <w:spacing w:after="60"/>
      </w:pPr>
      <w:r>
        <w:rPr>
          <w:rFonts w:ascii="Calibri" w:hAnsi="Calibri" w:eastAsia="Calibri"/>
          <w:b w:val="0"/>
          <w:sz w:val="22"/>
        </w:rPr>
        <w:t>Conclusión parcial: la hipótesis de configuración incorrecta se confirma en parte (el ajuste de diámetro + mortero acercó las lecturas), pero no basta por sí solo para igualar ambos medidores.</w:t>
      </w:r>
    </w:p>
    <w:p>
      <w:pPr>
        <w:pStyle w:val="Heading2"/>
      </w:pPr>
      <w:r>
        <w:rPr>
          <w:rFonts w:ascii="Calibri" w:hAnsi="Calibri"/>
          <w:color w:val="1F4788"/>
        </w:rPr>
        <w:t>3.7 Factor de escala (próximo ajuste según manual del sensor)</w:t>
      </w:r>
    </w:p>
    <w:p>
      <w:pPr>
        <w:spacing w:after="120" w:line="240" w:lineRule="auto"/>
        <w:jc w:val="both"/>
      </w:pPr>
      <w:r>
        <w:rPr>
          <w:rFonts w:ascii="Calibri" w:hAnsi="Calibri" w:eastAsia="Calibri"/>
          <w:b w:val="0"/>
          <w:sz w:val="22"/>
        </w:rPr>
        <w:t>Con apoyo de IA y los manuales del sensor, se definió el procedimiento para calcular un factor de escala que permita alinear el caudal del ultrasónico con la referencia de turbina:</w:t>
      </w:r>
    </w:p>
    <w:p>
      <w:pPr>
        <w:pStyle w:val="ListBullet"/>
        <w:spacing w:after="60"/>
      </w:pPr>
      <w:r>
        <w:rPr>
          <w:rFonts w:ascii="Calibri" w:hAnsi="Calibri" w:eastAsia="Calibri"/>
          <w:b w:val="0"/>
          <w:sz w:val="22"/>
        </w:rPr>
        <w:t>Valor A — flujo pasante del medidor ultrasónico leído en el menú 00 (caudal instantáneo / indicado por el equipo).</w:t>
      </w:r>
    </w:p>
    <w:p>
      <w:pPr>
        <w:pStyle w:val="ListBullet"/>
        <w:spacing w:after="60"/>
      </w:pPr>
      <w:r>
        <w:rPr>
          <w:rFonts w:ascii="Calibri" w:hAnsi="Calibri" w:eastAsia="Calibri"/>
          <w:b w:val="0"/>
          <w:sz w:val="22"/>
        </w:rPr>
        <w:t>Valor B — medición tipo laboratorio: con cronómetro, durante 1 minuto, registrar cuántos litros pasaron por el medidor de turbina Itron (referencia ESVAL).</w:t>
      </w:r>
    </w:p>
    <w:p>
      <w:pPr>
        <w:pStyle w:val="ListBullet"/>
        <w:spacing w:after="60"/>
      </w:pPr>
      <w:r>
        <w:rPr>
          <w:rFonts w:ascii="Calibri" w:hAnsi="Calibri" w:eastAsia="Calibri"/>
          <w:b w:val="0"/>
          <w:sz w:val="22"/>
        </w:rPr>
        <w:t>Con ambos valores se calcula el factor de escala (relación B/A o según fórmula del manual del fabricante) y se carga en el equipo para que las lecturas coincidan.</w:t>
      </w:r>
    </w:p>
    <w:p>
      <w:pPr>
        <w:spacing w:after="120" w:line="240" w:lineRule="auto"/>
        <w:jc w:val="both"/>
      </w:pPr>
      <w:r>
        <w:rPr>
          <w:rFonts w:ascii="Calibri" w:hAnsi="Calibri" w:eastAsia="Calibri"/>
          <w:b w:val="0"/>
          <w:sz w:val="22"/>
        </w:rPr>
        <w:t>Este paso queda como acción inmediata de seguimiento: ejecutar la toma de 1 minuto, documentar A y B, aplicar el factor y repetir la prueba de contraste.</w:t>
      </w:r>
    </w:p>
    <w:p>
      <w:pPr>
        <w:pStyle w:val="Heading1"/>
      </w:pPr>
      <w:r>
        <w:rPr>
          <w:rFonts w:ascii="Calibri" w:hAnsi="Calibri"/>
          <w:color w:val="1F4788"/>
        </w:rPr>
        <w:t>4. Hallazgos</w:t>
      </w:r>
    </w:p>
    <w:p>
      <w:pPr>
        <w:pStyle w:val="ListBullet"/>
        <w:spacing w:after="60"/>
      </w:pPr>
      <w:r>
        <w:rPr>
          <w:rFonts w:ascii="Calibri" w:hAnsi="Calibri" w:eastAsia="Calibri"/>
          <w:b w:val="0"/>
          <w:sz w:val="22"/>
        </w:rPr>
        <w:t>Calidad de señal (DN/UP y Q) dentro de especificación desde el inicio; mejora adicional tras limpieza de tubería + silicona.</w:t>
      </w:r>
    </w:p>
    <w:p>
      <w:pPr>
        <w:pStyle w:val="ListBullet"/>
        <w:spacing w:after="60"/>
      </w:pPr>
      <w:r>
        <w:rPr>
          <w:rFonts w:ascii="Calibri" w:hAnsi="Calibri" w:eastAsia="Calibri"/>
          <w:b w:val="0"/>
          <w:sz w:val="22"/>
        </w:rPr>
        <w:t>Continuidad de cables correcta.</w:t>
      </w:r>
    </w:p>
    <w:p>
      <w:pPr>
        <w:pStyle w:val="ListBullet"/>
        <w:spacing w:after="60"/>
      </w:pPr>
      <w:r>
        <w:rPr>
          <w:rFonts w:ascii="Calibri" w:hAnsi="Calibri" w:eastAsia="Calibri"/>
          <w:b w:val="0"/>
          <w:sz w:val="22"/>
        </w:rPr>
        <w:t>Configuración previa errónea: diámetro 110 mm y sin lining de mortero; correcto según ESVAL/obra: 118 mm + mortero 3 mm en cañería Fierro dúctil (EN545).</w:t>
      </w:r>
    </w:p>
    <w:p>
      <w:pPr>
        <w:pStyle w:val="ListBullet"/>
        <w:spacing w:after="60"/>
      </w:pPr>
      <w:r>
        <w:rPr>
          <w:rFonts w:ascii="Calibri" w:hAnsi="Calibri" w:eastAsia="Calibri"/>
          <w:b w:val="0"/>
          <w:sz w:val="22"/>
        </w:rPr>
        <w:t>Tras corrección: diferencia residual ~40 L → requiere factor de escala (menú 00 vs prueba cronometrada 1 min en turbina).</w:t>
      </w:r>
    </w:p>
    <w:p>
      <w:pPr>
        <w:pStyle w:val="Heading1"/>
      </w:pPr>
      <w:r>
        <w:rPr>
          <w:rFonts w:ascii="Calibri" w:hAnsi="Calibri"/>
          <w:color w:val="1F4788"/>
        </w:rPr>
        <w:t>5. Próximos pasos</w:t>
      </w:r>
    </w:p>
    <w:p>
      <w:pPr>
        <w:pStyle w:val="ListBullet"/>
        <w:spacing w:after="60"/>
      </w:pPr>
      <w:r>
        <w:rPr>
          <w:rFonts w:ascii="Calibri" w:hAnsi="Calibri" w:eastAsia="Calibri"/>
          <w:b w:val="0"/>
          <w:sz w:val="22"/>
        </w:rPr>
        <w:t>Ejecutar el procedimiento de factor de escala: menú 00 (ultrasónico) vs litros en 1 minuto en medidor de turbina; cargar el factor según manual.</w:t>
      </w:r>
    </w:p>
    <w:p>
      <w:pPr>
        <w:pStyle w:val="ListBullet"/>
        <w:spacing w:after="60"/>
      </w:pPr>
      <w:r>
        <w:rPr>
          <w:rFonts w:ascii="Calibri" w:hAnsi="Calibri" w:eastAsia="Calibri"/>
          <w:b w:val="0"/>
          <w:sz w:val="22"/>
        </w:rPr>
        <w:t>Repetir contraste volumétrico post factor de escala y archivar lecturas antes/después.</w:t>
      </w:r>
    </w:p>
    <w:p>
      <w:pPr>
        <w:pStyle w:val="ListBullet"/>
        <w:spacing w:after="60"/>
      </w:pPr>
      <w:r>
        <w:rPr>
          <w:rFonts w:ascii="Calibri" w:hAnsi="Calibri" w:eastAsia="Calibri"/>
          <w:b w:val="0"/>
          <w:sz w:val="22"/>
        </w:rPr>
        <w:t>Dejar registro fotográfico del menú de configuración (diámetro, cobertura/mortero y factor de escala) junto a esta evidencia de cañería.</w:t>
      </w:r>
    </w:p>
    <w:p>
      <w:pPr>
        <w:pStyle w:val="Heading1"/>
      </w:pPr>
      <w:r>
        <w:rPr>
          <w:rFonts w:ascii="Calibri" w:hAnsi="Calibri"/>
          <w:color w:val="1F4788"/>
        </w:rPr>
        <w:t>6. Conclusión</w:t>
      </w:r>
    </w:p>
    <w:p>
      <w:pPr>
        <w:spacing w:after="120" w:line="240" w:lineRule="auto"/>
        <w:jc w:val="both"/>
      </w:pPr>
      <w:r>
        <w:rPr>
          <w:rFonts w:ascii="Calibri" w:hAnsi="Calibri" w:eastAsia="Calibri"/>
          <w:b w:val="0"/>
          <w:sz w:val="22"/>
        </w:rPr>
        <w:t>El desvío inicial no se explica por calidad de señal ni por cableado. La limpieza de tubería y la silicona mejoraron DN/UP y Q, pero no el volumen. La revisión del material (fierro dúctil EN545) y la validación con datos ESVAL permitieron corregir el diámetro (110 → 118 mm) y cargar mortero de 3 mm en el menú de cobertura, reduciendo la diferencia a ~40 L. El cierre de la desviación residual se aborda con el cálculo e ingreso del factor de escala según menú 00 y prueba cronometrada de 1 minuto sobre el medidor de turbina.</w:t>
      </w:r>
    </w:p>
    <w:p>
      <w:pPr>
        <w:spacing w:before="360"/>
      </w:pPr>
      <w:r>
        <w:rPr>
          <w:rFonts w:ascii="Calibri" w:hAnsi="Calibri" w:eastAsia="Calibri"/>
          <w:b w:val="0"/>
          <w:color w:val="595959"/>
          <w:sz w:val="18"/>
        </w:rPr>
        <w:t>Documento generado para uso interno del equipo WES. No constituye informe de cliente ni certificado de calibración.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