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Comparativo fuga — La Reina (Eugenio María de Hostos)</w:t>
      </w:r>
    </w:p>
    <w:p>
      <w:r>
        <w:rPr>
          <w:rFonts w:ascii="Calibri" w:hAnsi="Calibri" w:eastAsia="Calibri"/>
          <w:b/>
          <w:sz w:val="24"/>
        </w:rPr>
        <w:t>MONITOREO WES — seguimiento operativo</w:t>
      </w:r>
    </w:p>
    <w:p>
      <w:r>
        <w:t>Punto: Eugenio María de Hostos (000024-01) · Cliente: La Reina (000024)</w:t>
        <w:br/>
        <w:t>Ventana analizada: 04-08-2026 12:00 → 05-08-2026 10:00 (hora Chile)</w:t>
        <w:br/>
        <w:t>Generado: 05-08-2026 10:00</w:t>
      </w:r>
    </w:p>
    <w:p>
      <w:pPr>
        <w:pStyle w:val="Heading1"/>
      </w:pPr>
      <w:r>
        <w:t>1. Qué decía el reporte enviado (julio 2026)</w:t>
      </w:r>
    </w:p>
    <w:p>
      <w:r>
        <w:t>El reporte agregado de La Reina (01–31/07/2026) documentó un evento de fuga / pérdida anómala en Eugenio María de Hostos:</w:t>
      </w:r>
    </w:p>
    <w:p>
      <w:pPr>
        <w:pStyle w:val="ListBullet"/>
      </w:pPr>
      <w:r>
        <w:t>Consumo total del mes: 21.010,1 m³ (un solo colegio).</w:t>
      </w:r>
    </w:p>
    <w:p>
      <w:pPr>
        <w:pStyle w:val="ListBullet"/>
      </w:pPr>
      <w:r>
        <w:t>Consumo nocturno (00:00–06:59): 5.945,6 m³ (28.3 % del total).</w:t>
      </w:r>
    </w:p>
    <w:p>
      <w:pPr>
        <w:pStyle w:val="ListBullet"/>
      </w:pPr>
      <w:r>
        <w:t>Baseline pre-fuga (1–13/07 y junio): ~20 m³/día.</w:t>
      </w:r>
    </w:p>
    <w:p>
      <w:pPr>
        <w:pStyle w:val="ListBullet"/>
      </w:pPr>
      <w:r>
        <w:t>Cambio marcado en nocturno desde el 14/07/2026.</w:t>
      </w:r>
    </w:p>
    <w:p>
      <w:pPr>
        <w:pStyle w:val="ListBullet"/>
      </w:pPr>
      <w:r>
        <w:t>El 27/07/2026 se desactivó el control, lo que explica el alza posterior.</w:t>
      </w:r>
    </w:p>
    <w:p>
      <w:pPr>
        <w:pStyle w:val="Heading1"/>
      </w:pPr>
      <w:r>
        <w:t>2. Qué está pasando ahora (ventana pedida)</w:t>
      </w:r>
    </w:p>
    <w:p>
      <w:r>
        <w:t>Desde el 04-08-2026 12:00 hasta 05-08-2026 10:00 el punto acumula aproximadamente 239,2 m³ en 22 horas con dato (suma de caudales horarios m³/h ≈ volumen de cada hora).</w:t>
      </w:r>
    </w:p>
    <w:p>
      <w:pPr>
        <w:pStyle w:val="ListBullet"/>
      </w:pPr>
      <w:r>
        <w:t>Volumen el 04-08 desde las 12:00: 235,3 m³.</w:t>
      </w:r>
    </w:p>
    <w:p>
      <w:pPr>
        <w:pStyle w:val="ListBullet"/>
      </w:pPr>
      <w:r>
        <w:t>Volumen el 05-08 hasta ahora: 3,9 m³.</w:t>
      </w:r>
    </w:p>
    <w:p>
      <w:pPr>
        <w:pStyle w:val="ListBullet"/>
      </w:pPr>
      <w:r>
        <w:t>Nocturno dentro de la ventana (horas 00–06): 0,0 m³.</w:t>
      </w:r>
    </w:p>
    <w:p>
      <w:pPr>
        <w:pStyle w:val="ListBullet"/>
      </w:pPr>
      <w:r>
        <w:t>Máximo horario en la ventana: 217,4 m³/h a las 04-08 12:00.</w:t>
      </w:r>
    </w:p>
    <w:p>
      <w:pPr>
        <w:pStyle w:val="ListBullet"/>
      </w:pPr>
      <w:r>
        <w:t>Lectura en vivo al generar: caudal 1.900 m³/h · 22 L/min · estado ON · última actualización 050826 09:59.</w:t>
      </w:r>
    </w:p>
    <w:p>
      <w:pPr>
        <w:pStyle w:val="Heading1"/>
      </w:pPr>
      <w:r>
        <w:t>3. Comparación con la referencia de fuga</w:t>
      </w:r>
    </w:p>
    <w:p>
      <w:r>
        <w:t>Promedio de los últimos 7 días con dato en API: 2.009,1 m³/día, frente a ~20 m³/día antes de la fuga (≈ 100× el baseline).</w:t>
      </w:r>
    </w:p>
    <w:p>
      <w:r>
        <w:t>Lectura operativa de la ventana reciente: el 04-08 aún muestra caudales muy altos en la mañana (mismo orden de magnitud del evento de julio). Desde las 13:00 del 04-08 el caudal cae a ~1–3 m³/h y se mantiene continuo; la madrugada de hoy aparece en cero en la serie horaria, pero al momento de este informe el punto vuelve a registrar caudal (~1.900 m³/h).</w:t>
      </w:r>
    </w:p>
    <w:p>
      <w:r>
        <w:t>Alertas MyAlert en el entorno de la ventana / días previos:</w:t>
      </w:r>
    </w:p>
    <w:p>
      <w:pPr>
        <w:pStyle w:val="ListBullet"/>
      </w:pPr>
      <w:r>
        <w:t>2026-08-03T12:00:00.000+00:00 · medida 1.101 · stream 1.101@0308@08</w:t>
      </w:r>
    </w:p>
    <w:p>
      <w:pPr>
        <w:pStyle w:val="ListBullet"/>
      </w:pPr>
      <w:r>
        <w:t>2026-08-03T16:00:00.000+00:00 · medida 2.101 · stream 2.101@0308@12</w:t>
      </w:r>
    </w:p>
    <w:p>
      <w:pPr>
        <w:pStyle w:val="ListBullet"/>
      </w:pPr>
      <w:r>
        <w:t>2026-08-04T18:00:00.000+00:00 · medida 2.201 · stream 2.201@0408@14</w:t>
      </w:r>
    </w:p>
    <w:p>
      <w:pPr>
        <w:pStyle w:val="ListBullet"/>
      </w:pPr>
      <w:r>
        <w:t>2026-08-05T00:00:00.000+00:00 · medida 1.101 · stream 1.101@0408@20</w:t>
      </w:r>
    </w:p>
    <w:p>
      <w:pPr>
        <w:pStyle w:val="Heading1"/>
      </w:pPr>
      <w:r>
        <w:t>4. Gráficos</w:t>
      </w:r>
    </w:p>
    <w:p>
      <w:r>
        <w:t>Perfil horario — ventana desde ayer 12:00 hasta ahora:</w:t>
      </w:r>
    </w:p>
    <w:p>
      <w:r>
        <w:drawing>
          <wp:inline xmlns:a="http://schemas.openxmlformats.org/drawingml/2006/main" xmlns:pic="http://schemas.openxmlformats.org/drawingml/2006/picture">
            <wp:extent cx="5760720" cy="2513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entana_desde_ayer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Contexto diario (vs baseline pre-fuga):</w:t>
      </w:r>
    </w:p>
    <w:p>
      <w:r>
        <w:drawing>
          <wp:inline xmlns:a="http://schemas.openxmlformats.org/drawingml/2006/main" xmlns:pic="http://schemas.openxmlformats.org/drawingml/2006/picture">
            <wp:extent cx="5760720" cy="2199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texto_di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Perfil 24 h — 04-08-2026 (día completo API):</w:t>
      </w:r>
    </w:p>
    <w:p>
      <w:r>
        <w:drawing>
          <wp:inline xmlns:a="http://schemas.openxmlformats.org/drawingml/2006/main" xmlns:pic="http://schemas.openxmlformats.org/drawingml/2006/picture">
            <wp:extent cx="5760720" cy="2557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ay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Perfil 24 h — 05-08-2026 (parcial hasta ahora):</w:t>
      </w:r>
    </w:p>
    <w:p>
      <w:r>
        <w:drawing>
          <wp:inline xmlns:a="http://schemas.openxmlformats.org/drawingml/2006/main" xmlns:pic="http://schemas.openxmlformats.org/drawingml/2006/picture">
            <wp:extent cx="5760720" cy="2567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h_ho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Conclusión</w:t>
      </w:r>
    </w:p>
    <w:p>
      <w:r>
        <w:t>Respecto del reporte de julio (fuga / pérdida anómala en Hostos): el evento no está cerrado. Los días recientes siguen órdenes de magnitud por sobre el baseline (~20 m³/día). En la ventana desde ayer 12:00 se ve una baja brusca del caudal extremo al mediodía, residual continuo en la tarde-noche, madrugada de hoy en cero en la serie, y reaparición de caudal esta mañana. Se recomienda verificar en terreno si hubo cierre parcial de válvula / reactivación de control y confirmar si la fuga residual (~1–2 m³/h) sigue activa.</w:t>
      </w:r>
    </w:p>
    <w:p>
      <w:r>
        <w:t>Nota: volumen horario ≈ valor m³/h de la API × 1 h. Totales diarios vienen de /nodes/measures/dates (totalM3).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