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E3A5D"/>
        </w:rPr>
        <w:t>Perfil de consumo · Weir · Almirante Riveros 1050</w:t>
      </w:r>
    </w:p>
    <w:p>
      <w:r>
        <w:rPr>
          <w:i/>
        </w:rPr>
        <w:t>Vulco S.A. · San Bernardo · Aguas Andinas · boleta de septiembre 2026</w:t>
      </w:r>
    </w:p>
    <w:tbl>
      <w:tblPr>
        <w:tblStyle w:val="TableGrid"/>
        <w:tblW w:type="auto" w:w="0"/>
        <w:tblLook w:firstColumn="1" w:firstRow="1" w:lastColumn="0" w:lastRow="0" w:noHBand="0" w:noVBand="1" w:val="04A0"/>
      </w:tblPr>
      <w:tblGrid>
        <w:gridCol w:w="4320"/>
        <w:gridCol w:w="4320"/>
      </w:tblGrid>
      <w:tr>
        <w:tc>
          <w:tcPr>
            <w:tcW w:type="dxa" w:w="4320"/>
          </w:tcPr>
          <w:p>
            <w:r>
              <w:t>Dirección</w:t>
            </w:r>
          </w:p>
        </w:tc>
        <w:tc>
          <w:tcPr>
            <w:tcW w:type="dxa" w:w="4320"/>
          </w:tcPr>
          <w:p>
            <w:r>
              <w:t>Almirante Riveros 1050, San Bernardo</w:t>
            </w:r>
          </w:p>
        </w:tc>
      </w:tr>
      <w:tr>
        <w:tc>
          <w:tcPr>
            <w:tcW w:type="dxa" w:w="4320"/>
          </w:tcPr>
          <w:p>
            <w:r>
              <w:t>Sitio</w:t>
            </w:r>
          </w:p>
        </w:tc>
        <w:tc>
          <w:tcPr>
            <w:tcW w:type="dxa" w:w="4320"/>
          </w:tcPr>
          <w:p>
            <w:r>
              <w:t>Vulco</w:t>
            </w:r>
          </w:p>
        </w:tc>
      </w:tr>
      <w:tr>
        <w:tc>
          <w:tcPr>
            <w:tcW w:type="dxa" w:w="4320"/>
          </w:tcPr>
          <w:p>
            <w:r>
              <w:t>Titular</w:t>
            </w:r>
          </w:p>
        </w:tc>
        <w:tc>
          <w:tcPr>
            <w:tcW w:type="dxa" w:w="4320"/>
          </w:tcPr>
          <w:p>
            <w:r>
              <w:t>Gómez González, Alejandro Javier · RUT No figura en la boleta (boleta, no factura)</w:t>
            </w:r>
          </w:p>
        </w:tc>
      </w:tr>
      <w:tr>
        <w:tc>
          <w:tcPr>
            <w:tcW w:type="dxa" w:w="4320"/>
          </w:tcPr>
          <w:p>
            <w:r>
              <w:t>N° de cuenta</w:t>
            </w:r>
          </w:p>
        </w:tc>
        <w:tc>
          <w:tcPr>
            <w:tcW w:type="dxa" w:w="4320"/>
          </w:tcPr>
          <w:p>
            <w:r>
              <w:t>2713987-6</w:t>
            </w:r>
          </w:p>
        </w:tc>
      </w:tr>
      <w:tr>
        <w:tc>
          <w:tcPr>
            <w:tcW w:type="dxa" w:w="4320"/>
          </w:tcPr>
          <w:p>
            <w:r>
              <w:t>Medidor</w:t>
            </w:r>
          </w:p>
        </w:tc>
        <w:tc>
          <w:tcPr>
            <w:tcW w:type="dxa" w:w="4320"/>
          </w:tcPr>
          <w:p>
            <w:r>
              <w:t>2.128</w:t>
            </w:r>
          </w:p>
        </w:tc>
      </w:tr>
      <w:tr>
        <w:tc>
          <w:tcPr>
            <w:tcW w:type="dxa" w:w="4320"/>
          </w:tcPr>
          <w:p>
            <w:r>
              <w:t>Documento</w:t>
            </w:r>
          </w:p>
        </w:tc>
        <w:tc>
          <w:tcPr>
            <w:tcW w:type="dxa" w:w="4320"/>
          </w:tcPr>
          <w:p>
            <w:r>
              <w:t>Boleta electrónica N° 322122961</w:t>
            </w:r>
          </w:p>
        </w:tc>
      </w:tr>
      <w:tr>
        <w:tc>
          <w:tcPr>
            <w:tcW w:type="dxa" w:w="4320"/>
          </w:tcPr>
          <w:p>
            <w:r>
              <w:t>Período de lectura</w:t>
            </w:r>
          </w:p>
        </w:tc>
        <w:tc>
          <w:tcPr>
            <w:tcW w:type="dxa" w:w="4320"/>
          </w:tcPr>
          <w:p>
            <w:r>
              <w:t>31-07-2026 al 31-08-2026 (sin lecturas de medidor)</w:t>
            </w:r>
          </w:p>
        </w:tc>
      </w:tr>
      <w:tr>
        <w:tc>
          <w:tcPr>
            <w:tcW w:type="dxa" w:w="4320"/>
          </w:tcPr>
          <w:p>
            <w:r>
              <w:t>Consumo facturado</w:t>
            </w:r>
          </w:p>
        </w:tc>
        <w:tc>
          <w:tcPr>
            <w:tcW w:type="dxa" w:w="4320"/>
          </w:tcPr>
          <w:p>
            <w:r>
              <w:t>253 m³</w:t>
            </w:r>
          </w:p>
        </w:tc>
      </w:tr>
      <w:tr>
        <w:tc>
          <w:tcPr>
            <w:tcW w:type="dxa" w:w="4320"/>
          </w:tcPr>
          <w:p>
            <w:r>
              <w:t>Total a pagar</w:t>
            </w:r>
          </w:p>
        </w:tc>
        <w:tc>
          <w:tcPr>
            <w:tcW w:type="dxa" w:w="4320"/>
          </w:tcPr>
          <w:p>
            <w:r>
              <w:t>$ 351.198 · vence 26-09-2026</w:t>
            </w:r>
          </w:p>
        </w:tc>
      </w:tr>
      <w:tr>
        <w:tc>
          <w:tcPr>
            <w:tcW w:type="dxa" w:w="4320"/>
          </w:tcPr>
          <w:p>
            <w:r>
              <w:t>Clave</w:t>
            </w:r>
          </w:p>
        </w:tc>
        <w:tc>
          <w:tcPr>
            <w:tcW w:type="dxa" w:w="4320"/>
          </w:tcPr>
          <w:p>
            <w:r>
              <w:t>Consumo estimado · medidor cerrado</w:t>
            </w:r>
          </w:p>
        </w:tc>
      </w:tr>
    </w:tbl>
    <w:p/>
    <w:p>
      <w:r>
        <w:drawing>
          <wp:inline xmlns:a="http://schemas.openxmlformats.org/drawingml/2006/main" xmlns:pic="http://schemas.openxmlformats.org/drawingml/2006/picture">
            <wp:extent cx="5852160" cy="2027976"/>
            <wp:docPr id="1" name="Picture 1"/>
            <wp:cNvGraphicFramePr>
              <a:graphicFrameLocks noChangeAspect="1"/>
            </wp:cNvGraphicFramePr>
            <a:graphic>
              <a:graphicData uri="http://schemas.openxmlformats.org/drawingml/2006/picture">
                <pic:pic>
                  <pic:nvPicPr>
                    <pic:cNvPr id="0" name="weir Almirante Riveros.png"/>
                    <pic:cNvPicPr/>
                  </pic:nvPicPr>
                  <pic:blipFill>
                    <a:blip r:embed="rId9"/>
                    <a:stretch>
                      <a:fillRect/>
                    </a:stretch>
                  </pic:blipFill>
                  <pic:spPr>
                    <a:xfrm>
                      <a:off x="0" y="0"/>
                      <a:ext cx="5852160" cy="2027976"/>
                    </a:xfrm>
                    <a:prstGeom prst="rect"/>
                  </pic:spPr>
                </pic:pic>
              </a:graphicData>
            </a:graphic>
          </wp:inline>
        </w:drawing>
      </w:r>
    </w:p>
    <w:p>
      <w:pPr>
        <w:jc w:val="left"/>
      </w:pPr>
      <w:r>
        <w:t>Últimos 12 meses (oct-25 a sep-26): 3.036 m³ · promedio 253 m³/mes · máximo 253 m³ (Sep-25) · mínimo 253 m³ (Sep-25).</w:t>
      </w:r>
    </w:p>
    <w:p>
      <w:pPr>
        <w:pStyle w:val="Heading2"/>
      </w:pPr>
      <w:r>
        <w:t>Serie mensual (m³)</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t>Sep-25</w:t>
            </w:r>
          </w:p>
        </w:tc>
        <w:tc>
          <w:tcPr>
            <w:tcW w:type="dxa" w:w="665"/>
          </w:tcPr>
          <w:p>
            <w:r>
              <w:t>Oct-25</w:t>
            </w:r>
          </w:p>
        </w:tc>
        <w:tc>
          <w:tcPr>
            <w:tcW w:type="dxa" w:w="665"/>
          </w:tcPr>
          <w:p>
            <w:r>
              <w:t>Nov-25</w:t>
            </w:r>
          </w:p>
        </w:tc>
        <w:tc>
          <w:tcPr>
            <w:tcW w:type="dxa" w:w="665"/>
          </w:tcPr>
          <w:p>
            <w:r>
              <w:t>Dic-25</w:t>
            </w:r>
          </w:p>
        </w:tc>
        <w:tc>
          <w:tcPr>
            <w:tcW w:type="dxa" w:w="665"/>
          </w:tcPr>
          <w:p>
            <w:r>
              <w:t>Ene-26</w:t>
            </w:r>
          </w:p>
        </w:tc>
        <w:tc>
          <w:tcPr>
            <w:tcW w:type="dxa" w:w="665"/>
          </w:tcPr>
          <w:p>
            <w:r>
              <w:t>Feb-26</w:t>
            </w:r>
          </w:p>
        </w:tc>
        <w:tc>
          <w:tcPr>
            <w:tcW w:type="dxa" w:w="665"/>
          </w:tcPr>
          <w:p>
            <w:r>
              <w:t>Mar-26</w:t>
            </w:r>
          </w:p>
        </w:tc>
        <w:tc>
          <w:tcPr>
            <w:tcW w:type="dxa" w:w="665"/>
          </w:tcPr>
          <w:p>
            <w:r>
              <w:t>Abr-26</w:t>
            </w:r>
          </w:p>
        </w:tc>
        <w:tc>
          <w:tcPr>
            <w:tcW w:type="dxa" w:w="665"/>
          </w:tcPr>
          <w:p>
            <w:r>
              <w:t>May-26</w:t>
            </w:r>
          </w:p>
        </w:tc>
        <w:tc>
          <w:tcPr>
            <w:tcW w:type="dxa" w:w="665"/>
          </w:tcPr>
          <w:p>
            <w:r>
              <w:t>Jun-26</w:t>
            </w:r>
          </w:p>
        </w:tc>
        <w:tc>
          <w:tcPr>
            <w:tcW w:type="dxa" w:w="665"/>
          </w:tcPr>
          <w:p>
            <w:r>
              <w:t>Jul-26</w:t>
            </w:r>
          </w:p>
        </w:tc>
        <w:tc>
          <w:tcPr>
            <w:tcW w:type="dxa" w:w="665"/>
          </w:tcPr>
          <w:p>
            <w:r>
              <w:t>Ago-26</w:t>
            </w:r>
          </w:p>
        </w:tc>
        <w:tc>
          <w:tcPr>
            <w:tcW w:type="dxa" w:w="665"/>
          </w:tcPr>
          <w:p>
            <w:r>
              <w:t>Sep-26</w:t>
            </w:r>
          </w:p>
        </w:tc>
      </w:tr>
      <w:tr>
        <w:tc>
          <w:tcPr>
            <w:tcW w:type="dxa" w:w="665"/>
          </w:tcPr>
          <w:p>
            <w:r>
              <w:t>253</w:t>
            </w:r>
          </w:p>
        </w:tc>
        <w:tc>
          <w:tcPr>
            <w:tcW w:type="dxa" w:w="665"/>
          </w:tcPr>
          <w:p>
            <w:r>
              <w:t>253</w:t>
            </w:r>
          </w:p>
        </w:tc>
        <w:tc>
          <w:tcPr>
            <w:tcW w:type="dxa" w:w="665"/>
          </w:tcPr>
          <w:p>
            <w:r>
              <w:t>253</w:t>
            </w:r>
          </w:p>
        </w:tc>
        <w:tc>
          <w:tcPr>
            <w:tcW w:type="dxa" w:w="665"/>
          </w:tcPr>
          <w:p>
            <w:r>
              <w:t>253</w:t>
            </w:r>
          </w:p>
        </w:tc>
        <w:tc>
          <w:tcPr>
            <w:tcW w:type="dxa" w:w="665"/>
          </w:tcPr>
          <w:p>
            <w:r>
              <w:t>253</w:t>
            </w:r>
          </w:p>
        </w:tc>
        <w:tc>
          <w:tcPr>
            <w:tcW w:type="dxa" w:w="665"/>
          </w:tcPr>
          <w:p>
            <w:r>
              <w:t>253</w:t>
            </w:r>
          </w:p>
        </w:tc>
        <w:tc>
          <w:tcPr>
            <w:tcW w:type="dxa" w:w="665"/>
          </w:tcPr>
          <w:p>
            <w:r>
              <w:t>253</w:t>
            </w:r>
          </w:p>
        </w:tc>
        <w:tc>
          <w:tcPr>
            <w:tcW w:type="dxa" w:w="665"/>
          </w:tcPr>
          <w:p>
            <w:r>
              <w:t>253</w:t>
            </w:r>
          </w:p>
        </w:tc>
        <w:tc>
          <w:tcPr>
            <w:tcW w:type="dxa" w:w="665"/>
          </w:tcPr>
          <w:p>
            <w:r>
              <w:t>253</w:t>
            </w:r>
          </w:p>
        </w:tc>
        <w:tc>
          <w:tcPr>
            <w:tcW w:type="dxa" w:w="665"/>
          </w:tcPr>
          <w:p>
            <w:r>
              <w:t>253</w:t>
            </w:r>
          </w:p>
        </w:tc>
        <w:tc>
          <w:tcPr>
            <w:tcW w:type="dxa" w:w="665"/>
          </w:tcPr>
          <w:p>
            <w:r>
              <w:t>253</w:t>
            </w:r>
          </w:p>
        </w:tc>
        <w:tc>
          <w:tcPr>
            <w:tcW w:type="dxa" w:w="665"/>
          </w:tcPr>
          <w:p>
            <w:r>
              <w:t>253</w:t>
            </w:r>
          </w:p>
        </w:tc>
        <w:tc>
          <w:tcPr>
            <w:tcW w:type="dxa" w:w="665"/>
          </w:tcPr>
          <w:p>
            <w:r>
              <w:t>253</w:t>
            </w:r>
          </w:p>
        </w:tc>
      </w:tr>
    </w:tbl>
    <w:p>
      <w:pPr>
        <w:pStyle w:val="Heading2"/>
      </w:pPr>
      <w:r>
        <w:t>Cómo se lee</w:t>
      </w:r>
    </w:p>
    <w:p>
      <w:r>
        <w:t>La serie del gráfico es plana: los 13 meses quedan en 253 m³. No es un consumo medido. Aguas Andinas facturó por estimación porque la clave de lectura es CERRADO. Hasta que haya una lectura real, este perfil no sirve para comparar meses ni para dimensionar un medidor WES contra la facturación.</w:t>
      </w:r>
    </w:p>
    <w:p>
      <w:r>
        <w:t>La boleta no trae lectura actual ni anterior. Informa consumo promedio descontable de 253 m³ y 12.144 m³ por abonar en la próxima facturación. Despacho: weirbills01@weir.urjanet.com.</w:t>
      </w:r>
    </w:p>
    <w:p>
      <w:r>
        <w:rPr>
          <w:i/>
          <w:sz w:val="18"/>
        </w:rPr>
        <w:t>Los meses previos a septiembre 2026 se obtuvieron midiendo el gráfico «Consumo últimos 13 meses» de la boleta emitida el 08-09-2026 y ajustando la escala para que esa última barra coincida con los m³ facturados.</w:t>
      </w:r>
    </w:p>
    <w:p>
      <w:r>
        <w:rPr>
          <w:color w:val="0E3A5D"/>
          <w:sz w:val="18"/>
        </w:rPr>
        <w:t>WES · Perfil de consumo Weir Minerals · San Bernardo · octubre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