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E3A5D"/>
        </w:rPr>
        <w:t>Perfil de consumo · Weir · Baquedano 1215</w:t>
      </w:r>
    </w:p>
    <w:p>
      <w:r>
        <w:rPr>
          <w:i/>
        </w:rPr>
        <w:t>Vulco S.A. · San Bernardo · Aguas Andinas · boleta de septiembre 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Dirección</w:t>
            </w:r>
          </w:p>
        </w:tc>
        <w:tc>
          <w:tcPr>
            <w:tcW w:type="dxa" w:w="4320"/>
          </w:tcPr>
          <w:p>
            <w:r>
              <w:t>Baquedano 1215, San Bernardo</w:t>
            </w:r>
          </w:p>
        </w:tc>
      </w:tr>
      <w:tr>
        <w:tc>
          <w:tcPr>
            <w:tcW w:type="dxa" w:w="4320"/>
          </w:tcPr>
          <w:p>
            <w:r>
              <w:t>Sitio</w:t>
            </w:r>
          </w:p>
        </w:tc>
        <w:tc>
          <w:tcPr>
            <w:tcW w:type="dxa" w:w="4320"/>
          </w:tcPr>
          <w:p>
            <w:r>
              <w:t>Estadio Vulco</w:t>
            </w:r>
          </w:p>
        </w:tc>
      </w:tr>
      <w:tr>
        <w:tc>
          <w:tcPr>
            <w:tcW w:type="dxa" w:w="4320"/>
          </w:tcPr>
          <w:p>
            <w:r>
              <w:t>Titular</w:t>
            </w:r>
          </w:p>
        </w:tc>
        <w:tc>
          <w:tcPr>
            <w:tcW w:type="dxa" w:w="4320"/>
          </w:tcPr>
          <w:p>
            <w:r>
              <w:t>Vulco S.A. · RUT 91.619.000-K</w:t>
            </w:r>
          </w:p>
        </w:tc>
      </w:tr>
      <w:tr>
        <w:tc>
          <w:tcPr>
            <w:tcW w:type="dxa" w:w="4320"/>
          </w:tcPr>
          <w:p>
            <w:r>
              <w:t>N° de cuenta</w:t>
            </w:r>
          </w:p>
        </w:tc>
        <w:tc>
          <w:tcPr>
            <w:tcW w:type="dxa" w:w="4320"/>
          </w:tcPr>
          <w:p>
            <w:r>
              <w:t>295661-6</w:t>
            </w:r>
          </w:p>
        </w:tc>
      </w:tr>
      <w:tr>
        <w:tc>
          <w:tcPr>
            <w:tcW w:type="dxa" w:w="4320"/>
          </w:tcPr>
          <w:p>
            <w:r>
              <w:t>Medidor</w:t>
            </w:r>
          </w:p>
        </w:tc>
        <w:tc>
          <w:tcPr>
            <w:tcW w:type="dxa" w:w="4320"/>
          </w:tcPr>
          <w:p>
            <w:r>
              <w:t>110176970</w:t>
            </w:r>
          </w:p>
        </w:tc>
      </w:tr>
      <w:tr>
        <w:tc>
          <w:tcPr>
            <w:tcW w:type="dxa" w:w="4320"/>
          </w:tcPr>
          <w:p>
            <w:r>
              <w:t>Documento</w:t>
            </w:r>
          </w:p>
        </w:tc>
        <w:tc>
          <w:tcPr>
            <w:tcW w:type="dxa" w:w="4320"/>
          </w:tcPr>
          <w:p>
            <w:r>
              <w:t>Factura electrónica N° 9455958</w:t>
            </w:r>
          </w:p>
        </w:tc>
      </w:tr>
      <w:tr>
        <w:tc>
          <w:tcPr>
            <w:tcW w:type="dxa" w:w="4320"/>
          </w:tcPr>
          <w:p>
            <w:r>
              <w:t>Período de lectura</w:t>
            </w:r>
          </w:p>
        </w:tc>
        <w:tc>
          <w:tcPr>
            <w:tcW w:type="dxa" w:w="4320"/>
          </w:tcPr>
          <w:p>
            <w:r>
              <w:t>31-07-2026 al 31-08-2026</w:t>
            </w:r>
          </w:p>
        </w:tc>
      </w:tr>
      <w:tr>
        <w:tc>
          <w:tcPr>
            <w:tcW w:type="dxa" w:w="4320"/>
          </w:tcPr>
          <w:p>
            <w:r>
              <w:t>Consumo facturado</w:t>
            </w:r>
          </w:p>
        </w:tc>
        <w:tc>
          <w:tcPr>
            <w:tcW w:type="dxa" w:w="4320"/>
          </w:tcPr>
          <w:p>
            <w:r>
              <w:t>397 m³</w:t>
            </w:r>
          </w:p>
        </w:tc>
      </w:tr>
      <w:tr>
        <w:tc>
          <w:tcPr>
            <w:tcW w:type="dxa" w:w="4320"/>
          </w:tcPr>
          <w:p>
            <w:r>
              <w:t>Total a pagar</w:t>
            </w:r>
          </w:p>
        </w:tc>
        <w:tc>
          <w:tcPr>
            <w:tcW w:type="dxa" w:w="4320"/>
          </w:tcPr>
          <w:p>
            <w:r>
              <w:t>$ 550.552 · vence 26-09-2026</w:t>
            </w:r>
          </w:p>
        </w:tc>
      </w:tr>
      <w:tr>
        <w:tc>
          <w:tcPr>
            <w:tcW w:type="dxa" w:w="4320"/>
          </w:tcPr>
          <w:p>
            <w:r>
              <w:t>Clave</w:t>
            </w:r>
          </w:p>
        </w:tc>
        <w:tc>
          <w:tcPr>
            <w:tcW w:type="dxa" w:w="4320"/>
          </w:tcPr>
          <w:p>
            <w:r>
              <w:t>Consumo real · lectura ratificada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852160" cy="20279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eir Baquedano 121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027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left"/>
      </w:pPr>
      <w:r>
        <w:t>Últimos 12 meses (oct-25 a sep-26): 22.717 m³ · promedio 1.893 m³/mes · máximo 3.870 m³ (Feb-26) · mínimo 397 m³ (Sep-26).</w:t>
      </w:r>
    </w:p>
    <w:p>
      <w:pPr>
        <w:pStyle w:val="Heading2"/>
      </w:pPr>
      <w:r>
        <w:t>Serie mensual (m³)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Sep-25</w:t>
            </w:r>
          </w:p>
        </w:tc>
        <w:tc>
          <w:tcPr>
            <w:tcW w:type="dxa" w:w="665"/>
          </w:tcPr>
          <w:p>
            <w:r>
              <w:t>Oct-25</w:t>
            </w:r>
          </w:p>
        </w:tc>
        <w:tc>
          <w:tcPr>
            <w:tcW w:type="dxa" w:w="665"/>
          </w:tcPr>
          <w:p>
            <w:r>
              <w:t>Nov-25</w:t>
            </w:r>
          </w:p>
        </w:tc>
        <w:tc>
          <w:tcPr>
            <w:tcW w:type="dxa" w:w="665"/>
          </w:tcPr>
          <w:p>
            <w:r>
              <w:t>Dic-25</w:t>
            </w:r>
          </w:p>
        </w:tc>
        <w:tc>
          <w:tcPr>
            <w:tcW w:type="dxa" w:w="665"/>
          </w:tcPr>
          <w:p>
            <w:r>
              <w:t>Ene-26</w:t>
            </w:r>
          </w:p>
        </w:tc>
        <w:tc>
          <w:tcPr>
            <w:tcW w:type="dxa" w:w="665"/>
          </w:tcPr>
          <w:p>
            <w:r>
              <w:t>Feb-26</w:t>
            </w:r>
          </w:p>
        </w:tc>
        <w:tc>
          <w:tcPr>
            <w:tcW w:type="dxa" w:w="665"/>
          </w:tcPr>
          <w:p>
            <w:r>
              <w:t>Mar-26</w:t>
            </w:r>
          </w:p>
        </w:tc>
        <w:tc>
          <w:tcPr>
            <w:tcW w:type="dxa" w:w="665"/>
          </w:tcPr>
          <w:p>
            <w:r>
              <w:t>Abr-26</w:t>
            </w:r>
          </w:p>
        </w:tc>
        <w:tc>
          <w:tcPr>
            <w:tcW w:type="dxa" w:w="665"/>
          </w:tcPr>
          <w:p>
            <w:r>
              <w:t>May-26</w:t>
            </w:r>
          </w:p>
        </w:tc>
        <w:tc>
          <w:tcPr>
            <w:tcW w:type="dxa" w:w="665"/>
          </w:tcPr>
          <w:p>
            <w:r>
              <w:t>Jun-26</w:t>
            </w:r>
          </w:p>
        </w:tc>
        <w:tc>
          <w:tcPr>
            <w:tcW w:type="dxa" w:w="665"/>
          </w:tcPr>
          <w:p>
            <w:r>
              <w:t>Jul-26</w:t>
            </w:r>
          </w:p>
        </w:tc>
        <w:tc>
          <w:tcPr>
            <w:tcW w:type="dxa" w:w="665"/>
          </w:tcPr>
          <w:p>
            <w:r>
              <w:t>Ago-26</w:t>
            </w:r>
          </w:p>
        </w:tc>
        <w:tc>
          <w:tcPr>
            <w:tcW w:type="dxa" w:w="665"/>
          </w:tcPr>
          <w:p>
            <w:r>
              <w:t>Sep-26</w:t>
            </w:r>
          </w:p>
        </w:tc>
      </w:tr>
      <w:tr>
        <w:tc>
          <w:tcPr>
            <w:tcW w:type="dxa" w:w="665"/>
          </w:tcPr>
          <w:p>
            <w:r>
              <w:t>590</w:t>
            </w:r>
          </w:p>
        </w:tc>
        <w:tc>
          <w:tcPr>
            <w:tcW w:type="dxa" w:w="665"/>
          </w:tcPr>
          <w:p>
            <w:r>
              <w:t>520</w:t>
            </w:r>
          </w:p>
        </w:tc>
        <w:tc>
          <w:tcPr>
            <w:tcW w:type="dxa" w:w="665"/>
          </w:tcPr>
          <w:p>
            <w:r>
              <w:t>1.070</w:t>
            </w:r>
          </w:p>
        </w:tc>
        <w:tc>
          <w:tcPr>
            <w:tcW w:type="dxa" w:w="665"/>
          </w:tcPr>
          <w:p>
            <w:r>
              <w:t>1.380</w:t>
            </w:r>
          </w:p>
        </w:tc>
        <w:tc>
          <w:tcPr>
            <w:tcW w:type="dxa" w:w="665"/>
          </w:tcPr>
          <w:p>
            <w:r>
              <w:t>2.260</w:t>
            </w:r>
          </w:p>
        </w:tc>
        <w:tc>
          <w:tcPr>
            <w:tcW w:type="dxa" w:w="665"/>
          </w:tcPr>
          <w:p>
            <w:r>
              <w:t>3.870</w:t>
            </w:r>
          </w:p>
        </w:tc>
        <w:tc>
          <w:tcPr>
            <w:tcW w:type="dxa" w:w="665"/>
          </w:tcPr>
          <w:p>
            <w:r>
              <w:t>3.870</w:t>
            </w:r>
          </w:p>
        </w:tc>
        <w:tc>
          <w:tcPr>
            <w:tcW w:type="dxa" w:w="665"/>
          </w:tcPr>
          <w:p>
            <w:r>
              <w:t>3.780</w:t>
            </w:r>
          </w:p>
        </w:tc>
        <w:tc>
          <w:tcPr>
            <w:tcW w:type="dxa" w:w="665"/>
          </w:tcPr>
          <w:p>
            <w:r>
              <w:t>1.610</w:t>
            </w:r>
          </w:p>
        </w:tc>
        <w:tc>
          <w:tcPr>
            <w:tcW w:type="dxa" w:w="665"/>
          </w:tcPr>
          <w:p>
            <w:r>
              <w:t>1.550</w:t>
            </w:r>
          </w:p>
        </w:tc>
        <w:tc>
          <w:tcPr>
            <w:tcW w:type="dxa" w:w="665"/>
          </w:tcPr>
          <w:p>
            <w:r>
              <w:t>1.090</w:t>
            </w:r>
          </w:p>
        </w:tc>
        <w:tc>
          <w:tcPr>
            <w:tcW w:type="dxa" w:w="665"/>
          </w:tcPr>
          <w:p>
            <w:r>
              <w:t>1.320</w:t>
            </w:r>
          </w:p>
        </w:tc>
        <w:tc>
          <w:tcPr>
            <w:tcW w:type="dxa" w:w="665"/>
          </w:tcPr>
          <w:p>
            <w:r>
              <w:t>397</w:t>
            </w:r>
          </w:p>
        </w:tc>
      </w:tr>
    </w:tbl>
    <w:p>
      <w:pPr>
        <w:pStyle w:val="Heading2"/>
      </w:pPr>
      <w:r>
        <w:t>Cómo se lee</w:t>
      </w:r>
    </w:p>
    <w:p>
      <w:r>
        <w:t>El consumo es bajo en primavera (cerca de 500–600 m³) y sube fuerte entre febrero y abril de 2026, cuando se acerca a 3.800–3.900 m³. Desde mayo baja y septiembre 2026 es el mes más bajo de la serie (397 m³, lectura real). El salto de verano respecto del mes actual es del orden de 10 veces.</w:t>
      </w:r>
    </w:p>
    <w:p>
      <w:r>
        <w:t>Despacho electrónico: weirbills01@weir.urjanet.com. Arranque 40 mm.</w:t>
      </w:r>
    </w:p>
    <w:p>
      <w:r>
        <w:rPr>
          <w:i/>
          <w:sz w:val="18"/>
        </w:rPr>
        <w:t>Los meses previos a septiembre 2026 se obtuvieron midiendo el gráfico «Consumo últimos 13 meses» de la boleta emitida el 08-09-2026 y ajustando la escala para que esa última barra coincida con los m³ facturados.</w:t>
      </w:r>
    </w:p>
    <w:p>
      <w:r>
        <w:rPr>
          <w:color w:val="0E3A5D"/>
          <w:sz w:val="18"/>
        </w:rPr>
        <w:t>WES · Perfil de consumo Weir Minerals · San Bernardo · octubre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