
<file path=[Content_Types].xml><?xml version="1.0" encoding="utf-8"?>
<Types xmlns="http://schemas.openxmlformats.org/package/2006/content-types">
  <Default Extension="bmp" ContentType="image/bmp"/>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rFonts w:ascii="Calibri" w:hAnsi="Calibri"/>
          <w:color w:val="1F4788"/>
        </w:rPr>
        <w:t>Informe de validación WES v/s medidor Itron (ESVAL)</w:t>
      </w:r>
    </w:p>
    <w:p>
      <w:r>
        <w:rPr>
          <w:rFonts w:ascii="Calibri" w:hAnsi="Calibri" w:eastAsia="Calibri"/>
          <w:b w:val="0"/>
          <w:color w:val="595959"/>
          <w:sz w:val="20"/>
        </w:rPr>
        <w:t>Fundo Zapallar · Matriz ESVAL (000027-01)</w:t>
        <w:br/>
      </w:r>
      <w:r>
        <w:rPr>
          <w:rFonts w:ascii="Calibri" w:hAnsi="Calibri" w:eastAsia="Calibri"/>
          <w:b w:val="0"/>
          <w:color w:val="595959"/>
          <w:sz w:val="20"/>
        </w:rPr>
        <w:t>Fecha de validación: 22-09-2026  |  Ventana: 11:50 → 15:00</w:t>
        <w:br/>
      </w:r>
      <w:r>
        <w:rPr>
          <w:rFonts w:ascii="Calibri" w:hAnsi="Calibri" w:eastAsia="Calibri"/>
          <w:b w:val="0"/>
          <w:color w:val="595959"/>
          <w:sz w:val="20"/>
        </w:rPr>
        <w:t>Uso interno WES</w:t>
        <w:br/>
      </w:r>
    </w:p>
    <w:p>
      <w:pPr>
        <w:spacing w:after="120"/>
        <w:jc w:val="both"/>
      </w:pPr>
      <w:r>
        <w:rPr>
          <w:rFonts w:ascii="Calibri" w:hAnsi="Calibri" w:eastAsia="Calibri"/>
          <w:b w:val="0"/>
          <w:sz w:val="22"/>
        </w:rPr>
        <w:t>En las siguientes tablas se muestran las lecturas registradas en terreno, comparando el medidor de turbina Itron (referencia ESVAL) con el medidor ultrasónico WES en el mismo periodo, para determinar la exactitud del monitoreo.</w:t>
      </w:r>
    </w:p>
    <w:p>
      <w:pPr>
        <w:pStyle w:val="Heading1"/>
      </w:pPr>
      <w:r>
        <w:rPr>
          <w:rFonts w:ascii="Calibri" w:hAnsi="Calibri"/>
          <w:color w:val="1F4788"/>
        </w:rPr>
        <w:t>Qué se revisó en terreno</w:t>
      </w:r>
    </w:p>
    <w:p>
      <w:pPr>
        <w:pStyle w:val="ListBullet"/>
        <w:spacing w:after="40"/>
      </w:pPr>
      <w:r>
        <w:rPr>
          <w:rFonts w:ascii="Calibri" w:hAnsi="Calibri" w:eastAsia="Calibri"/>
          <w:b w:val="0"/>
          <w:sz w:val="22"/>
        </w:rPr>
        <w:t>Calidad de señal del ultrasónico: dentro de lo recomendado por el fabricante.</w:t>
      </w:r>
    </w:p>
    <w:p>
      <w:pPr>
        <w:pStyle w:val="ListBullet"/>
        <w:spacing w:after="40"/>
      </w:pPr>
      <w:r>
        <w:rPr>
          <w:rFonts w:ascii="Calibri" w:hAnsi="Calibri" w:eastAsia="Calibri"/>
          <w:b w:val="0"/>
          <w:sz w:val="22"/>
        </w:rPr>
        <w:t>Cables en buen estado. Se limpió la tubería y se renovó la silicona de los sensores.</w:t>
      </w:r>
    </w:p>
    <w:p>
      <w:pPr>
        <w:pStyle w:val="ListBullet"/>
        <w:spacing w:after="40"/>
      </w:pPr>
      <w:r>
        <w:rPr>
          <w:rFonts w:ascii="Calibri" w:hAnsi="Calibri" w:eastAsia="Calibri"/>
          <w:b w:val="0"/>
          <w:sz w:val="22"/>
        </w:rPr>
        <w:t>Se ajustó la configuración de la cañería (diámetro y revestimiento interno de mortero) y el factor de escala del equipo (tope 1,5).</w:t>
      </w:r>
    </w:p>
    <w:p>
      <w:pPr>
        <w:pStyle w:val="ListBullet"/>
        <w:spacing w:after="40"/>
      </w:pPr>
      <w:r>
        <w:rPr>
          <w:rFonts w:ascii="Calibri" w:hAnsi="Calibri" w:eastAsia="Calibri"/>
          <w:b w:val="0"/>
          <w:sz w:val="22"/>
        </w:rPr>
        <w:t>Configuración al cierre: diámetro 127 mm · mortero 3 mm.</w:t>
      </w:r>
    </w:p>
    <w:p>
      <w:pPr>
        <w:pStyle w:val="Heading1"/>
      </w:pPr>
      <w:r>
        <w:rPr>
          <w:rFonts w:ascii="Calibri" w:hAnsi="Calibri"/>
          <w:color w:val="1F4788"/>
        </w:rPr>
        <w:t>Matriz ESVAL</w:t>
      </w:r>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9975"/>
            <w:gridSpan w:val="7"/>
          </w:tcPr>
          <w:p>
            <w:pPr>
              <w:jc w:val="center"/>
            </w:pPr>
            <w:r/>
            <w:r>
              <w:rPr>
                <w:rFonts w:ascii="Calibri" w:hAnsi="Calibri" w:eastAsia="Calibri"/>
                <w:b/>
                <w:color w:val="1F4788"/>
                <w:sz w:val="22"/>
              </w:rPr>
              <w:t>Validación medidor Itron (ESVAL)</w:t>
            </w:r>
          </w:p>
        </w:tc>
      </w:tr>
      <w:tr>
        <w:tc>
          <w:tcPr>
            <w:tcW w:type="dxa" w:w="1425"/>
          </w:tcPr>
          <w:p>
            <w:r/>
            <w:r>
              <w:rPr>
                <w:rFonts w:ascii="Calibri" w:hAnsi="Calibri" w:eastAsia="Calibri"/>
                <w:b/>
                <w:color w:val="1F4788"/>
                <w:sz w:val="18"/>
              </w:rPr>
              <w:t>ANÁLISIS</w:t>
            </w:r>
          </w:p>
        </w:tc>
        <w:tc>
          <w:tcPr>
            <w:tcW w:type="dxa" w:w="1425"/>
          </w:tcPr>
          <w:p>
            <w:r/>
            <w:r>
              <w:rPr>
                <w:rFonts w:ascii="Calibri" w:hAnsi="Calibri" w:eastAsia="Calibri"/>
                <w:b/>
                <w:color w:val="1F4788"/>
                <w:sz w:val="18"/>
              </w:rPr>
              <w:t>HORA INICIAL</w:t>
            </w:r>
          </w:p>
        </w:tc>
        <w:tc>
          <w:tcPr>
            <w:tcW w:type="dxa" w:w="1425"/>
          </w:tcPr>
          <w:p>
            <w:r/>
            <w:r>
              <w:rPr>
                <w:rFonts w:ascii="Calibri" w:hAnsi="Calibri" w:eastAsia="Calibri"/>
                <w:b/>
                <w:color w:val="1F4788"/>
                <w:sz w:val="18"/>
              </w:rPr>
              <w:t>LECTURA (m³)</w:t>
            </w:r>
          </w:p>
        </w:tc>
        <w:tc>
          <w:tcPr>
            <w:tcW w:type="dxa" w:w="1425"/>
          </w:tcPr>
          <w:p>
            <w:r/>
            <w:r>
              <w:rPr>
                <w:rFonts w:ascii="Calibri" w:hAnsi="Calibri" w:eastAsia="Calibri"/>
                <w:b/>
                <w:color w:val="1F4788"/>
                <w:sz w:val="18"/>
              </w:rPr>
              <w:t>HORA FINAL</w:t>
            </w:r>
          </w:p>
        </w:tc>
        <w:tc>
          <w:tcPr>
            <w:tcW w:type="dxa" w:w="1425"/>
          </w:tcPr>
          <w:p>
            <w:r/>
            <w:r>
              <w:rPr>
                <w:rFonts w:ascii="Calibri" w:hAnsi="Calibri" w:eastAsia="Calibri"/>
                <w:b/>
                <w:color w:val="1F4788"/>
                <w:sz w:val="18"/>
              </w:rPr>
              <w:t>LECTURA (m³)</w:t>
            </w:r>
          </w:p>
        </w:tc>
        <w:tc>
          <w:tcPr>
            <w:tcW w:type="dxa" w:w="1425"/>
          </w:tcPr>
          <w:p>
            <w:r/>
            <w:r>
              <w:rPr>
                <w:rFonts w:ascii="Calibri" w:hAnsi="Calibri" w:eastAsia="Calibri"/>
                <w:b/>
                <w:color w:val="1F4788"/>
                <w:sz w:val="18"/>
              </w:rPr>
              <w:t>CONSUMO m³</w:t>
            </w:r>
          </w:p>
        </w:tc>
        <w:tc>
          <w:tcPr>
            <w:tcW w:type="dxa" w:w="1425"/>
          </w:tcPr>
          <w:p>
            <w:r/>
            <w:r>
              <w:rPr>
                <w:rFonts w:ascii="Calibri" w:hAnsi="Calibri" w:eastAsia="Calibri"/>
                <w:b/>
                <w:color w:val="1F4788"/>
                <w:sz w:val="18"/>
              </w:rPr>
              <w:t>HORAS</w:t>
            </w:r>
          </w:p>
        </w:tc>
      </w:tr>
      <w:tr>
        <w:tc>
          <w:tcPr>
            <w:tcW w:type="dxa" w:w="1425"/>
          </w:tcPr>
          <w:p>
            <w:r/>
            <w:r>
              <w:rPr>
                <w:rFonts w:ascii="Calibri" w:hAnsi="Calibri" w:eastAsia="Calibri"/>
                <w:b w:val="0"/>
                <w:sz w:val="18"/>
              </w:rPr>
              <w:t>Matriz ESVAL</w:t>
            </w:r>
          </w:p>
        </w:tc>
        <w:tc>
          <w:tcPr>
            <w:tcW w:type="dxa" w:w="1425"/>
          </w:tcPr>
          <w:p>
            <w:r/>
            <w:r>
              <w:rPr>
                <w:rFonts w:ascii="Calibri" w:hAnsi="Calibri" w:eastAsia="Calibri"/>
                <w:b w:val="0"/>
                <w:sz w:val="18"/>
              </w:rPr>
              <w:t>22-09-2026 11:50</w:t>
            </w:r>
          </w:p>
        </w:tc>
        <w:tc>
          <w:tcPr>
            <w:tcW w:type="dxa" w:w="1425"/>
          </w:tcPr>
          <w:p>
            <w:r/>
            <w:r>
              <w:rPr>
                <w:rFonts w:ascii="Calibri" w:hAnsi="Calibri" w:eastAsia="Calibri"/>
                <w:b w:val="0"/>
                <w:sz w:val="18"/>
              </w:rPr>
              <w:t>383.956,27</w:t>
            </w:r>
          </w:p>
        </w:tc>
        <w:tc>
          <w:tcPr>
            <w:tcW w:type="dxa" w:w="1425"/>
          </w:tcPr>
          <w:p>
            <w:r/>
            <w:r>
              <w:rPr>
                <w:rFonts w:ascii="Calibri" w:hAnsi="Calibri" w:eastAsia="Calibri"/>
                <w:b w:val="0"/>
                <w:sz w:val="18"/>
              </w:rPr>
              <w:t>22-09-2026 15:00</w:t>
            </w:r>
          </w:p>
        </w:tc>
        <w:tc>
          <w:tcPr>
            <w:tcW w:type="dxa" w:w="1425"/>
          </w:tcPr>
          <w:p>
            <w:r/>
            <w:r>
              <w:rPr>
                <w:rFonts w:ascii="Calibri" w:hAnsi="Calibri" w:eastAsia="Calibri"/>
                <w:b w:val="0"/>
                <w:sz w:val="18"/>
              </w:rPr>
              <w:t>383.978,01</w:t>
            </w:r>
          </w:p>
        </w:tc>
        <w:tc>
          <w:tcPr>
            <w:tcW w:type="dxa" w:w="1425"/>
          </w:tcPr>
          <w:p>
            <w:r/>
            <w:r>
              <w:rPr>
                <w:rFonts w:ascii="Calibri" w:hAnsi="Calibri" w:eastAsia="Calibri"/>
                <w:b w:val="0"/>
                <w:sz w:val="18"/>
              </w:rPr>
              <w:t>21,74</w:t>
            </w:r>
          </w:p>
        </w:tc>
        <w:tc>
          <w:tcPr>
            <w:tcW w:type="dxa" w:w="1425"/>
          </w:tcPr>
          <w:p>
            <w:r/>
            <w:r>
              <w:rPr>
                <w:rFonts w:ascii="Calibri" w:hAnsi="Calibri" w:eastAsia="Calibri"/>
                <w:b w:val="0"/>
                <w:sz w:val="18"/>
              </w:rPr>
              <w:t>3,2</w:t>
            </w:r>
          </w:p>
        </w:tc>
      </w:tr>
    </w:tbl>
    <w:p/>
    <w:tbl>
      <w:tblPr>
        <w:tblStyle w:val="TableGrid"/>
        <w:tblW w:type="auto" w:w="0"/>
        <w:tblLook w:firstColumn="1" w:firstRow="1" w:lastColumn="0" w:lastRow="0" w:noHBand="0" w:noVBand="1" w:val="04A0"/>
      </w:tblPr>
      <w:tblGrid>
        <w:gridCol w:w="1425"/>
        <w:gridCol w:w="1425"/>
        <w:gridCol w:w="1425"/>
        <w:gridCol w:w="1425"/>
        <w:gridCol w:w="1425"/>
        <w:gridCol w:w="1425"/>
        <w:gridCol w:w="1425"/>
      </w:tblGrid>
      <w:tr>
        <w:tc>
          <w:tcPr>
            <w:tcW w:type="dxa" w:w="9975"/>
            <w:gridSpan w:val="7"/>
          </w:tcPr>
          <w:p>
            <w:pPr>
              <w:jc w:val="center"/>
            </w:pPr>
            <w:r/>
            <w:r>
              <w:rPr>
                <w:rFonts w:ascii="Calibri" w:hAnsi="Calibri" w:eastAsia="Calibri"/>
                <w:b/>
                <w:color w:val="1F4788"/>
                <w:sz w:val="22"/>
              </w:rPr>
              <w:t>Validación medidor ultrasónico WES (NET × 0,01)</w:t>
            </w:r>
          </w:p>
        </w:tc>
      </w:tr>
      <w:tr>
        <w:tc>
          <w:tcPr>
            <w:tcW w:type="dxa" w:w="1425"/>
          </w:tcPr>
          <w:p>
            <w:r/>
            <w:r>
              <w:rPr>
                <w:rFonts w:ascii="Calibri" w:hAnsi="Calibri" w:eastAsia="Calibri"/>
                <w:b/>
                <w:color w:val="1F4788"/>
                <w:sz w:val="18"/>
              </w:rPr>
              <w:t>ANÁLISIS</w:t>
            </w:r>
          </w:p>
        </w:tc>
        <w:tc>
          <w:tcPr>
            <w:tcW w:type="dxa" w:w="1425"/>
          </w:tcPr>
          <w:p>
            <w:r/>
            <w:r>
              <w:rPr>
                <w:rFonts w:ascii="Calibri" w:hAnsi="Calibri" w:eastAsia="Calibri"/>
                <w:b/>
                <w:color w:val="1F4788"/>
                <w:sz w:val="18"/>
              </w:rPr>
              <w:t>HORA INICIAL</w:t>
            </w:r>
          </w:p>
        </w:tc>
        <w:tc>
          <w:tcPr>
            <w:tcW w:type="dxa" w:w="1425"/>
          </w:tcPr>
          <w:p>
            <w:r/>
            <w:r>
              <w:rPr>
                <w:rFonts w:ascii="Calibri" w:hAnsi="Calibri" w:eastAsia="Calibri"/>
                <w:b/>
                <w:color w:val="1F4788"/>
                <w:sz w:val="18"/>
              </w:rPr>
              <w:t>LECTURA (m³)</w:t>
            </w:r>
          </w:p>
        </w:tc>
        <w:tc>
          <w:tcPr>
            <w:tcW w:type="dxa" w:w="1425"/>
          </w:tcPr>
          <w:p>
            <w:r/>
            <w:r>
              <w:rPr>
                <w:rFonts w:ascii="Calibri" w:hAnsi="Calibri" w:eastAsia="Calibri"/>
                <w:b/>
                <w:color w:val="1F4788"/>
                <w:sz w:val="18"/>
              </w:rPr>
              <w:t>HORA FINAL</w:t>
            </w:r>
          </w:p>
        </w:tc>
        <w:tc>
          <w:tcPr>
            <w:tcW w:type="dxa" w:w="1425"/>
          </w:tcPr>
          <w:p>
            <w:r/>
            <w:r>
              <w:rPr>
                <w:rFonts w:ascii="Calibri" w:hAnsi="Calibri" w:eastAsia="Calibri"/>
                <w:b/>
                <w:color w:val="1F4788"/>
                <w:sz w:val="18"/>
              </w:rPr>
              <w:t>LECTURA (m³)</w:t>
            </w:r>
          </w:p>
        </w:tc>
        <w:tc>
          <w:tcPr>
            <w:tcW w:type="dxa" w:w="1425"/>
          </w:tcPr>
          <w:p>
            <w:r/>
            <w:r>
              <w:rPr>
                <w:rFonts w:ascii="Calibri" w:hAnsi="Calibri" w:eastAsia="Calibri"/>
                <w:b/>
                <w:color w:val="1F4788"/>
                <w:sz w:val="18"/>
              </w:rPr>
              <w:t>CONSUMO m³</w:t>
            </w:r>
          </w:p>
        </w:tc>
        <w:tc>
          <w:tcPr>
            <w:tcW w:type="dxa" w:w="1425"/>
          </w:tcPr>
          <w:p>
            <w:r/>
            <w:r>
              <w:rPr>
                <w:rFonts w:ascii="Calibri" w:hAnsi="Calibri" w:eastAsia="Calibri"/>
                <w:b/>
                <w:color w:val="1F4788"/>
                <w:sz w:val="18"/>
              </w:rPr>
              <w:t>HORAS</w:t>
            </w:r>
          </w:p>
        </w:tc>
      </w:tr>
      <w:tr>
        <w:tc>
          <w:tcPr>
            <w:tcW w:type="dxa" w:w="1425"/>
          </w:tcPr>
          <w:p>
            <w:r/>
            <w:r>
              <w:rPr>
                <w:rFonts w:ascii="Calibri" w:hAnsi="Calibri" w:eastAsia="Calibri"/>
                <w:b w:val="0"/>
                <w:sz w:val="18"/>
              </w:rPr>
              <w:t>Matriz ESVAL</w:t>
            </w:r>
          </w:p>
        </w:tc>
        <w:tc>
          <w:tcPr>
            <w:tcW w:type="dxa" w:w="1425"/>
          </w:tcPr>
          <w:p>
            <w:r/>
            <w:r>
              <w:rPr>
                <w:rFonts w:ascii="Calibri" w:hAnsi="Calibri" w:eastAsia="Calibri"/>
                <w:b w:val="0"/>
                <w:sz w:val="18"/>
              </w:rPr>
              <w:t>22-09-2026 11:50</w:t>
            </w:r>
          </w:p>
        </w:tc>
        <w:tc>
          <w:tcPr>
            <w:tcW w:type="dxa" w:w="1425"/>
          </w:tcPr>
          <w:p>
            <w:r/>
            <w:r>
              <w:rPr>
                <w:rFonts w:ascii="Calibri" w:hAnsi="Calibri" w:eastAsia="Calibri"/>
                <w:b w:val="0"/>
                <w:sz w:val="18"/>
              </w:rPr>
              <w:t>18.119,06</w:t>
            </w:r>
          </w:p>
        </w:tc>
        <w:tc>
          <w:tcPr>
            <w:tcW w:type="dxa" w:w="1425"/>
          </w:tcPr>
          <w:p>
            <w:r/>
            <w:r>
              <w:rPr>
                <w:rFonts w:ascii="Calibri" w:hAnsi="Calibri" w:eastAsia="Calibri"/>
                <w:b w:val="0"/>
                <w:sz w:val="18"/>
              </w:rPr>
              <w:t>22-09-2026 15:00</w:t>
            </w:r>
          </w:p>
        </w:tc>
        <w:tc>
          <w:tcPr>
            <w:tcW w:type="dxa" w:w="1425"/>
          </w:tcPr>
          <w:p>
            <w:r/>
            <w:r>
              <w:rPr>
                <w:rFonts w:ascii="Calibri" w:hAnsi="Calibri" w:eastAsia="Calibri"/>
                <w:b w:val="0"/>
                <w:sz w:val="18"/>
              </w:rPr>
              <w:t>18.141,45</w:t>
            </w:r>
          </w:p>
        </w:tc>
        <w:tc>
          <w:tcPr>
            <w:tcW w:type="dxa" w:w="1425"/>
          </w:tcPr>
          <w:p>
            <w:r/>
            <w:r>
              <w:rPr>
                <w:rFonts w:ascii="Calibri" w:hAnsi="Calibri" w:eastAsia="Calibri"/>
                <w:b w:val="0"/>
                <w:sz w:val="18"/>
              </w:rPr>
              <w:t>22,39</w:t>
            </w:r>
          </w:p>
        </w:tc>
        <w:tc>
          <w:tcPr>
            <w:tcW w:type="dxa" w:w="1425"/>
          </w:tcPr>
          <w:p>
            <w:r/>
            <w:r>
              <w:rPr>
                <w:rFonts w:ascii="Calibri" w:hAnsi="Calibri" w:eastAsia="Calibri"/>
                <w:b w:val="0"/>
                <w:sz w:val="18"/>
              </w:rPr>
              <w:t>3,2</w:t>
            </w:r>
          </w:p>
        </w:tc>
      </w:tr>
    </w:tbl>
    <w:p/>
    <w:tbl>
      <w:tblPr>
        <w:tblStyle w:val="TableGrid"/>
        <w:tblW w:type="auto" w:w="0"/>
        <w:tblLook w:firstColumn="1" w:firstRow="1" w:lastColumn="0" w:lastRow="0" w:noHBand="0" w:noVBand="1" w:val="04A0"/>
      </w:tblPr>
      <w:tblGrid>
        <w:gridCol w:w="4986"/>
        <w:gridCol w:w="4986"/>
      </w:tblGrid>
      <w:tr>
        <w:tc>
          <w:tcPr>
            <w:tcW w:type="dxa" w:w="4986"/>
          </w:tcPr>
          <w:p>
            <w:r/>
            <w:r>
              <w:rPr>
                <w:rFonts w:ascii="Calibri" w:hAnsi="Calibri" w:eastAsia="Calibri"/>
                <w:b w:val="0"/>
                <w:sz w:val="20"/>
              </w:rPr>
              <w:t>Total Itron (lectura)</w:t>
            </w:r>
          </w:p>
        </w:tc>
        <w:tc>
          <w:tcPr>
            <w:tcW w:type="dxa" w:w="4986"/>
          </w:tcPr>
          <w:p>
            <w:r/>
            <w:r>
              <w:rPr>
                <w:rFonts w:ascii="Calibri" w:hAnsi="Calibri" w:eastAsia="Calibri"/>
                <w:b w:val="0"/>
                <w:sz w:val="20"/>
              </w:rPr>
              <w:t>21,74 m³</w:t>
            </w:r>
          </w:p>
        </w:tc>
      </w:tr>
      <w:tr>
        <w:tc>
          <w:tcPr>
            <w:tcW w:type="dxa" w:w="4986"/>
          </w:tcPr>
          <w:p>
            <w:r/>
            <w:r>
              <w:rPr>
                <w:rFonts w:ascii="Calibri" w:hAnsi="Calibri" w:eastAsia="Calibri"/>
                <w:b w:val="0"/>
                <w:sz w:val="20"/>
              </w:rPr>
              <w:t>Total ultrasónico WES</w:t>
            </w:r>
          </w:p>
        </w:tc>
        <w:tc>
          <w:tcPr>
            <w:tcW w:type="dxa" w:w="4986"/>
          </w:tcPr>
          <w:p>
            <w:r/>
            <w:r>
              <w:rPr>
                <w:rFonts w:ascii="Calibri" w:hAnsi="Calibri" w:eastAsia="Calibri"/>
                <w:b w:val="0"/>
                <w:sz w:val="20"/>
              </w:rPr>
              <w:t>22,39 m³</w:t>
            </w:r>
          </w:p>
        </w:tc>
      </w:tr>
      <w:tr>
        <w:tc>
          <w:tcPr>
            <w:tcW w:type="dxa" w:w="4986"/>
          </w:tcPr>
          <w:p>
            <w:r/>
            <w:r>
              <w:rPr>
                <w:rFonts w:ascii="Calibri" w:hAnsi="Calibri" w:eastAsia="Calibri"/>
                <w:b/>
                <w:color w:val="1F4788"/>
                <w:sz w:val="20"/>
              </w:rPr>
              <w:t>% Error</w:t>
            </w:r>
          </w:p>
        </w:tc>
        <w:tc>
          <w:tcPr>
            <w:tcW w:type="dxa" w:w="4986"/>
          </w:tcPr>
          <w:p>
            <w:r/>
            <w:r>
              <w:rPr>
                <w:rFonts w:ascii="Calibri" w:hAnsi="Calibri" w:eastAsia="Calibri"/>
                <w:b/>
                <w:color w:val="1F4788"/>
                <w:sz w:val="20"/>
              </w:rPr>
              <w:t>2,9 %</w:t>
            </w:r>
          </w:p>
        </w:tc>
      </w:tr>
    </w:tbl>
    <w:p/>
    <w:p>
      <w:pPr>
        <w:spacing w:after="120"/>
        <w:jc w:val="both"/>
      </w:pPr>
      <w:r>
        <w:rPr>
          <w:rFonts w:ascii="Calibri" w:hAnsi="Calibri" w:eastAsia="Calibri"/>
          <w:b w:val="0"/>
          <w:sz w:val="22"/>
        </w:rPr>
        <w:t>En base a las lecturas podemos determinar que el rango de error entre el medidor Itron y el ultrasónico WES es de un 2,9 %. Los valores no son idénticos: el fabricante del ultrasónico declara un rango de error del 1 % y el de Itron del 5 %. Un 2,9 % se considera aceptable dentro de esos márgenes.</w:t>
      </w:r>
    </w:p>
    <w:p>
      <w:pPr>
        <w:pStyle w:val="Heading1"/>
      </w:pPr>
      <w:r>
        <w:rPr>
          <w:rFonts w:ascii="Calibri" w:hAnsi="Calibri"/>
          <w:color w:val="1F4788"/>
        </w:rPr>
        <w:t>Evidencia fotográfica</w:t>
      </w:r>
    </w:p>
    <w:p>
      <w:pPr>
        <w:jc w:val="center"/>
      </w:pPr>
      <w:r>
        <w:drawing>
          <wp:inline xmlns:a="http://schemas.openxmlformats.org/drawingml/2006/main" xmlns:pic="http://schemas.openxmlformats.org/drawingml/2006/picture">
            <wp:extent cx="3780000" cy="6720000"/>
            <wp:docPr id="1" name="Picture 1"/>
            <wp:cNvGraphicFramePr>
              <a:graphicFrameLocks noChangeAspect="1"/>
            </wp:cNvGraphicFramePr>
            <a:graphic>
              <a:graphicData uri="http://schemas.openxmlformats.org/drawingml/2006/picture">
                <pic:pic>
                  <pic:nvPicPr>
                    <pic:cNvPr id="0" name="itron_1150.jpg"/>
                    <pic:cNvPicPr/>
                  </pic:nvPicPr>
                  <pic:blipFill>
                    <a:blip r:embed="rId10"/>
                    <a:stretch>
                      <a:fillRect/>
                    </a:stretch>
                  </pic:blipFill>
                  <pic:spPr>
                    <a:xfrm>
                      <a:off x="0" y="0"/>
                      <a:ext cx="3780000" cy="6720000"/>
                    </a:xfrm>
                    <a:prstGeom prst="rect"/>
                  </pic:spPr>
                </pic:pic>
              </a:graphicData>
            </a:graphic>
          </wp:inline>
        </w:drawing>
      </w:r>
    </w:p>
    <w:p>
      <w:pPr>
        <w:jc w:val="center"/>
      </w:pPr>
      <w:r>
        <w:rPr>
          <w:rFonts w:ascii="Calibri" w:hAnsi="Calibri" w:eastAsia="Calibri"/>
          <w:b w:val="0"/>
          <w:color w:val="595959"/>
          <w:sz w:val="18"/>
        </w:rPr>
        <w:t>Itron Flostar S — 11:50</w:t>
      </w:r>
    </w:p>
    <w:p>
      <w:pPr>
        <w:jc w:val="center"/>
      </w:pPr>
      <w:r>
        <w:drawing>
          <wp:inline xmlns:a="http://schemas.openxmlformats.org/drawingml/2006/main" xmlns:pic="http://schemas.openxmlformats.org/drawingml/2006/picture">
            <wp:extent cx="3780000" cy="5040000"/>
            <wp:docPr id="2" name="Picture 2"/>
            <wp:cNvGraphicFramePr>
              <a:graphicFrameLocks noChangeAspect="1"/>
            </wp:cNvGraphicFramePr>
            <a:graphic>
              <a:graphicData uri="http://schemas.openxmlformats.org/drawingml/2006/picture">
                <pic:pic>
                  <pic:nvPicPr>
                    <pic:cNvPr id="0" name="ultrasonido_1150.jpg"/>
                    <pic:cNvPicPr/>
                  </pic:nvPicPr>
                  <pic:blipFill>
                    <a:blip r:embed="rId11"/>
                    <a:stretch>
                      <a:fillRect/>
                    </a:stretch>
                  </pic:blipFill>
                  <pic:spPr>
                    <a:xfrm>
                      <a:off x="0" y="0"/>
                      <a:ext cx="3780000" cy="5040000"/>
                    </a:xfrm>
                    <a:prstGeom prst="rect"/>
                  </pic:spPr>
                </pic:pic>
              </a:graphicData>
            </a:graphic>
          </wp:inline>
        </w:drawing>
      </w:r>
    </w:p>
    <w:p>
      <w:pPr>
        <w:jc w:val="center"/>
      </w:pPr>
      <w:r>
        <w:rPr>
          <w:rFonts w:ascii="Calibri" w:hAnsi="Calibri" w:eastAsia="Calibri"/>
          <w:b w:val="0"/>
          <w:color w:val="595959"/>
          <w:sz w:val="18"/>
        </w:rPr>
        <w:t>Ultrasónico WES — 11:50</w:t>
      </w:r>
    </w:p>
    <w:p>
      <w:pPr>
        <w:jc w:val="center"/>
      </w:pPr>
      <w:r>
        <w:drawing>
          <wp:inline xmlns:a="http://schemas.openxmlformats.org/drawingml/2006/main" xmlns:pic="http://schemas.openxmlformats.org/drawingml/2006/picture">
            <wp:extent cx="3780000" cy="2835000"/>
            <wp:docPr id="3" name="Picture 3"/>
            <wp:cNvGraphicFramePr>
              <a:graphicFrameLocks noChangeAspect="1"/>
            </wp:cNvGraphicFramePr>
            <a:graphic>
              <a:graphicData uri="http://schemas.openxmlformats.org/drawingml/2006/picture">
                <pic:pic>
                  <pic:nvPicPr>
                    <pic:cNvPr id="0" name="itron_1500.jpg"/>
                    <pic:cNvPicPr/>
                  </pic:nvPicPr>
                  <pic:blipFill>
                    <a:blip r:embed="rId12"/>
                    <a:stretch>
                      <a:fillRect/>
                    </a:stretch>
                  </pic:blipFill>
                  <pic:spPr>
                    <a:xfrm>
                      <a:off x="0" y="0"/>
                      <a:ext cx="3780000" cy="2835000"/>
                    </a:xfrm>
                    <a:prstGeom prst="rect"/>
                  </pic:spPr>
                </pic:pic>
              </a:graphicData>
            </a:graphic>
          </wp:inline>
        </w:drawing>
      </w:r>
    </w:p>
    <w:p>
      <w:pPr>
        <w:jc w:val="center"/>
      </w:pPr>
      <w:r>
        <w:rPr>
          <w:rFonts w:ascii="Calibri" w:hAnsi="Calibri" w:eastAsia="Calibri"/>
          <w:b w:val="0"/>
          <w:color w:val="595959"/>
          <w:sz w:val="18"/>
        </w:rPr>
        <w:t>Itron Flostar S — 15:00</w:t>
      </w:r>
    </w:p>
    <w:p>
      <w:pPr>
        <w:jc w:val="center"/>
      </w:pPr>
      <w:r>
        <w:drawing>
          <wp:inline xmlns:a="http://schemas.openxmlformats.org/drawingml/2006/main" xmlns:pic="http://schemas.openxmlformats.org/drawingml/2006/picture">
            <wp:extent cx="3780000" cy="5040000"/>
            <wp:docPr id="4" name="Picture 4"/>
            <wp:cNvGraphicFramePr>
              <a:graphicFrameLocks noChangeAspect="1"/>
            </wp:cNvGraphicFramePr>
            <a:graphic>
              <a:graphicData uri="http://schemas.openxmlformats.org/drawingml/2006/picture">
                <pic:pic>
                  <pic:nvPicPr>
                    <pic:cNvPr id="0" name="ultrasonido_1500.jpg"/>
                    <pic:cNvPicPr/>
                  </pic:nvPicPr>
                  <pic:blipFill>
                    <a:blip r:embed="rId13"/>
                    <a:stretch>
                      <a:fillRect/>
                    </a:stretch>
                  </pic:blipFill>
                  <pic:spPr>
                    <a:xfrm>
                      <a:off x="0" y="0"/>
                      <a:ext cx="3780000" cy="5040000"/>
                    </a:xfrm>
                    <a:prstGeom prst="rect"/>
                  </pic:spPr>
                </pic:pic>
              </a:graphicData>
            </a:graphic>
          </wp:inline>
        </w:drawing>
      </w:r>
    </w:p>
    <w:p>
      <w:pPr>
        <w:jc w:val="center"/>
      </w:pPr>
      <w:r>
        <w:rPr>
          <w:rFonts w:ascii="Calibri" w:hAnsi="Calibri" w:eastAsia="Calibri"/>
          <w:b w:val="0"/>
          <w:color w:val="595959"/>
          <w:sz w:val="18"/>
        </w:rPr>
        <w:t>Ultrasónico WES — 15:00</w:t>
      </w:r>
    </w:p>
    <w:p>
      <w:pPr>
        <w:spacing w:before="240"/>
      </w:pPr>
      <w:r>
        <w:rPr>
          <w:rFonts w:ascii="Calibri" w:hAnsi="Calibri" w:eastAsia="Calibri"/>
          <w:b w:val="0"/>
          <w:color w:val="595959"/>
          <w:sz w:val="18"/>
        </w:rPr>
        <w:t>Informe interno WES · Fundo Zapallar · generado 23-09-2026 00:28.</w:t>
      </w:r>
    </w:p>
    <w:sectPr w:rsidR="00FC693F" w:rsidRPr="0006063C" w:rsidSect="00034616">
      <w:headerReference w:type="default" r:id="rId9"/>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before="0"/>
      <w:jc w:val="right"/>
    </w:pPr>
    <w:r>
      <w:drawing>
        <wp:inline xmlns:a="http://schemas.openxmlformats.org/drawingml/2006/main" xmlns:pic="http://schemas.openxmlformats.org/drawingml/2006/picture">
          <wp:extent cx="1371600" cy="304081"/>
          <wp:docPr id="1" name="Picture 1"/>
          <wp:cNvGraphicFramePr>
            <a:graphicFrameLocks noChangeAspect="1"/>
          </wp:cNvGraphicFramePr>
          <a:graphic>
            <a:graphicData uri="http://schemas.openxmlformats.org/drawingml/2006/picture">
              <pic:pic>
                <pic:nvPicPr>
                  <pic:cNvPr id="0" name="logo wes.bmp"/>
                  <pic:cNvPicPr/>
                </pic:nvPicPr>
                <pic:blipFill>
                  <a:blip r:embed="rId1"/>
                  <a:stretch>
                    <a:fillRect/>
                  </a:stretch>
                </pic:blipFill>
                <pic:spPr>
                  <a:xfrm>
                    <a:off x="0" y="0"/>
                    <a:ext cx="1371600" cy="304081"/>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s>
</file>

<file path=word/_rels/header1.xml.rels><?xml version='1.0' encoding='UTF-8' standalone='yes'?>
<Relationships xmlns="http://schemas.openxmlformats.org/package/2006/relationships"><Relationship Id="rId1" Type="http://schemas.openxmlformats.org/officeDocument/2006/relationships/image" Target="media/image1.bm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