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Calibri" w:hAnsi="Calibri" w:eastAsia="Calibri"/>
          <w:b/>
          <w:color w:val="005CA8"/>
          <w:sz w:val="44"/>
        </w:rPr>
        <w:t>WES — Árbol de equipos</w:t>
      </w:r>
    </w:p>
    <w:p>
      <w:pPr>
        <w:spacing w:after="160" w:before="0"/>
      </w:pPr>
      <w:r>
        <w:rPr>
          <w:rFonts w:ascii="Calibri" w:hAnsi="Calibri" w:eastAsia="Calibri"/>
          <w:b w:val="0"/>
          <w:color w:val="555555"/>
          <w:sz w:val="24"/>
        </w:rPr>
        <w:t>Documento de revisión para el Dashboard</w:t>
      </w:r>
    </w:p>
    <w:p>
      <w:pPr>
        <w:spacing w:after="240" w:before="0"/>
      </w:pPr>
      <w:r>
        <w:rPr>
          <w:rFonts w:ascii="Calibri" w:hAnsi="Calibri" w:eastAsia="Calibri"/>
          <w:b w:val="0"/>
          <w:color w:val="555555"/>
          <w:sz w:val="20"/>
        </w:rPr>
        <w:t>Generado: 2026-09-22T20:09:03Z  ·  Clientes: 16  ·  Puntos hoja: 92  ·  Redes: 6  ·  Puntos separados: 10</w:t>
      </w:r>
    </w:p>
    <w:p>
      <w:pPr>
        <w:spacing w:after="80" w:before="0"/>
      </w:pPr>
      <w:r>
        <w:rPr>
          <w:rFonts w:ascii="Calibri" w:hAnsi="Calibri" w:eastAsia="Calibri"/>
          <w:b/>
          <w:color w:val="1A1A2E"/>
          <w:sz w:val="24"/>
        </w:rPr>
        <w:t>Leyenda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Puntos separados — cada medidor es independiente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Red con subredes — matriz/entrada y puntos aguas abajo (no doble-contar)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20"/>
        </w:rPr>
        <w:t>• Activo / Pendiente / Fuera — estado operativo del sitio o cliente</w:t>
      </w:r>
    </w:p>
    <w:p>
      <w:pPr>
        <w:spacing w:after="280" w:before="0"/>
      </w:pPr>
      <w:r>
        <w:rPr>
          <w:rFonts w:ascii="Calibri" w:hAnsi="Calibri" w:eastAsia="Calibri"/>
          <w:b w:val="0"/>
          <w:color w:val="555555"/>
          <w:sz w:val="20"/>
        </w:rPr>
        <w:t>• Empresa API distinta del nombre Dashboard (ej. DERCO → Inchcape) se indica entre paréntesis</w:t>
      </w:r>
    </w:p>
    <w:p>
      <w:pPr>
        <w:spacing w:after="120" w:before="0"/>
      </w:pPr>
      <w:r>
        <w:rPr>
          <w:rFonts w:ascii="Calibri" w:hAnsi="Calibri" w:eastAsia="Calibri"/>
          <w:b/>
          <w:color w:val="005CA8"/>
          <w:sz w:val="28"/>
        </w:rPr>
        <w:t>1. Índice — clientes en el árbol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#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ID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Cliente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Topología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/>
                <w:color w:val="1A1A2E"/>
                <w:sz w:val="18"/>
              </w:rPr>
              <w:t>Puntos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Lo valledor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Nido de Aguilas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CORMUP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000009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COPEC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Inchcape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000017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Renca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AGUNSA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CDUC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6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10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Las Condes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Reina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12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Parque Arauco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13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000027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Fundo Zapallar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5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14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000028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La Florida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15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000029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Bupa Antofagasta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Red con subredes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  <w:tr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16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000031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Club Providencia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Puntos separados</w:t>
            </w:r>
          </w:p>
        </w:tc>
        <w:tc>
          <w:tcPr>
            <w:tcW w:type="dxa" w:w="1968"/>
          </w:tcPr>
          <w:p>
            <w:r>
              <w:rPr>
                <w:rFonts w:ascii="Calibri" w:hAnsi="Calibri" w:eastAsia="Calibri"/>
                <w:b w:val="0"/>
                <w:color w:val="1A1A2E"/>
                <w:sz w:val="18"/>
              </w:rPr>
              <w:t>2</w:t>
            </w:r>
          </w:p>
        </w:tc>
      </w:tr>
    </w:tbl>
    <w:p/>
    <w:p>
      <w:pPr>
        <w:spacing w:after="160" w:before="160"/>
      </w:pPr>
      <w:r>
        <w:rPr>
          <w:rFonts w:ascii="Calibri" w:hAnsi="Calibri" w:eastAsia="Calibri"/>
          <w:b/>
          <w:color w:val="005CA8"/>
          <w:sz w:val="28"/>
        </w:rPr>
        <w:t>2. Detalle por cliente (solo activos / parciales)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Lo valledor  ·  000002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P1  (000002-01)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Lo Valledor - Barrio Norte  (000002-03)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Providencia  ·  000006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Lastarria  (000006-01)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Carmela Carvajal  (000006-02)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7 Luisa Saavedra  (000006-04)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Juan Pablo Duarte  (000006-05)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Nido de Aguilas  ·  000007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Nido de Águilas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Nido Pozo Profundo  (000007-06)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C  (000007-07)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Alimentado por medidor de la sanitaria; carga Estanque B y Estanque A (A no se monitorea).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B  (000007-01)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Teatro  (000007-02)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Nido High School  (000007-03)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Elementary  (000007-04)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Nido Piscina  (000007-05)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Sale del Estanque A (no monitoreado), cargado desde Estanque C; otras dependencias no están claras.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Control Nido de Aguilas  (000007-09)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CORMUP  ·  000008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14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Lic. Antonio Hermida F  (000008-01)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Eduardo de la Barra  (000008-02)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Carlos Fernandez P.  (000008-03)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Tobalaba  (000008-04)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Santa Maria  (000008-05)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Luis Arrieta Caña  (000008-06)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Erasmo Escala  (000008-07)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Alicura  (000008-08)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Bautista Pasten  (000008-09)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Matilde Huici Navas  (000008-10)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CE Valle Hermoso  (000008-11)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Unión Nacional Árabe  (000008-12)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Likankura  (000008-13)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Juan Pablo II  (000008-14)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COPEC  ·  000009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10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 (jerarquía parcial o pendiente). Completar parent map antes de agregar en Dashboard.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COPEC Costanera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Copec Riego  (000009-05)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Copec Matriz Principal (Pomelo)  (000009-06)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Costanera  (000009-00)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Oficina Admin.  (000009-01)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Baños  (000009-08)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Pronto Tienda  (000009-11)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Estanque Reutilización  (000009-02)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Solo alimenta el sistema de lavados cuando falla la ósmosis. El estanque de reutilización de ósmosis (90 %) no se monitorea.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Norte  (000009-03)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Lavado Automático Sur  (000009-04)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Norte  (000009-09)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Copec Lavado Auto servicio Sur  (000009-10)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Se alimenta de la matriz; tiene ósmosis que recupera ~90 % hacia estanque de reutilización no monitoreado.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Inchcape  ·  000012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Inchcape (empresa API DERCO)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Quilicura  · Activo  · Red con subredes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Matriz Principal alimenta la red; el resto es fracción mínima.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Quilicura Matriz Principal  (000012-06)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Matriz principal: alimenta toda la red Quilicura; los otros puntos representan una fracción mínima del total.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Dercomaq  (000012-07)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Lav. de Maquinas  (000012-08)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Casino  (000012-09)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Proderco  (000012-10)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Camarines  (000012-11)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Quilicura Edificio JCB  (000012-12)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Renca  ·  000017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Esc. Lo Velásquez  (000017-04)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Gimnasio  (000017-05)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Piscina Municipal  (000017-06)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pte.  (000017-07)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Cumbre de cóndores Ote.  (000017-08)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AGUNSA  ·  000020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AGUNSA (empresa API AGUNSA) con varios sitios.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Lampa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Deposito  (000020-01)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Modulo D  (000020-02)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ABC  (000020-03)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Módulo E  (000020-04)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Agunsa sucursal San Antonio  · Activo  · Puntos separados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Agunsa sucursal San Antonio  (000020-05)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CDUC  ·  000021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6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Club House CDUC  (000021-01)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Edificio Deportivo  (000021-02)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Raimundo Tupper  (000021-03)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Equitación  (000021-04)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Calle de Servicio  (000021-05)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Canchas de Tenis  (000021-07)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Las Condes  ·  000022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Alexander Fleming  (000022-00)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Reina  ·  000024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Eugenio María De Hostos  (000024-01)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Parque Arauco  ·  000025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Cliente multi-sitio (malls). Códigos: BOM, CUR, MAE, AEB, MAM, PAK, MAQ.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BOM —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300  (000025-17)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San Ignacio 500  (000025-18)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CUR —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Sur  (000025-37)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CUR Anillo Norte  (000025-38)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AEB —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principal 1°piso  (000025-11)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Anillo Plaza  (000025-12)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MAE —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Estanque Norte Locales Mall  (000025-01)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Abastecimiento Sur Terminal  (000025-02)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Sala de Bomba Estanque Sur  (000025-19)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Baños Públicos  (000025-04)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PIZZA HUT  (000025-07)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PAK —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Impulsión Anden 3-4 Matriz Principal  (000025-20)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Locales Gast.  (000025-21)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Impulsión Anden 3-4 Restaurante  (000025-29)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Sala de Bomba Sandia Antigua  (000025-22)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Alimenta Distrito de lujo (DL); a veces también Sandia Nueva.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Distrito de lujo DL  (000025-27)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Distrito de lujo — alimentado por Sandia Antigua (y a veces Nueva).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BAZAR GOURMET  (000025-35)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└── PAK DL KENNEDY  (000025-36)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 (000025-23)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Llenado Pileta Cascada  (000025-24)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Sala de Bomba Sandia Nueva  (000025-28)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A veces abastece Distrito de lujo (DL) junto / en lugar de Sandia Antigua.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MAM —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Sitio con varios puntos; jerarquía hidráulica pendiente de mapear.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Placa Bancaria  (000025-08)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Falabella  (000025-09)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Impulsión Ripley  (000025-10)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Matriz Pasillo Tecnico Boulevard  (000025-32)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Salida de emergencia pasillo 1 ARROW  (000025-33)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MAQ — Quilicura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>└──     ↳ Incluye matriz y subredes hidráulicas mapeadas.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Principal  (000025-13)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Alimentación Baños  (000025-34)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Fundo Zapallar  ·  000027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5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Red con subredes: hay matriz/entrada y puntos aguas abajo. Al agregar, no sumar hijos si ya está incluida la matriz padre.</w:t>
      </w:r>
    </w:p>
    <w:p>
      <w:pPr>
        <w:spacing w:after="20" w:before="0"/>
      </w:pPr>
      <w:r>
        <w:rPr>
          <w:rFonts w:ascii="Calibri" w:hAnsi="Calibri" w:eastAsia="Calibri"/>
          <w:b/>
          <w:color w:val="1A1A2E"/>
          <w:sz w:val="22"/>
        </w:rPr>
        <w:t>└── Sitio: Fundo Zapallar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RED  Matriz ESVAL  (000027-01)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└── Subred  Estanque Inferior  (000027-02)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└──     ↳ Alimenta el Estanque Superior (sin medición): la salida del Inferior equivale al llenado del Superior.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└── Subred  Estanque Superior (sin medición)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        └──     ↳ No monitoreado: la salida del Estanque Inferior equivale al llenado del Superior; de aquí salen Etapa N°5 y Etapa N°1 al 4.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└── Etapa N°5  (000027-03)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            └── Subred  Etapa N°1 al 4  (000027-04)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N°1  (000027-06)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N°2  (000027-07)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            └── Etapa N°3  (000027-08)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└── Riego Llenado de Estanque ESVAL  (000027-09)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16"/>
        </w:rPr>
        <w:t xml:space="preserve">    └──     ↳ Mide la carga del estanque de riego que viene desde un pozo (no desde la Matriz ESVAL).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La Florida  ·  000028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1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Liceo Alto Cordillera  (000028-01)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Bupa Antofagasta  ·  000029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Red con subredes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Medidor Principal Sanitaria alimenta Sala de Bomba Principal; Sexto Piso y Bomba N°2 son subredes de la bomba principal.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>└── RED  Medidor Principal Sanitaria  (000029-09)</w:t>
      </w:r>
    </w:p>
    <w:p>
      <w:pPr>
        <w:spacing w:after="20" w:before="0"/>
      </w:pPr>
      <w:r>
        <w:rPr>
          <w:rFonts w:ascii="Calibri" w:hAnsi="Calibri" w:eastAsia="Calibri"/>
          <w:b/>
          <w:color w:val="1B7A3D"/>
          <w:sz w:val="20"/>
        </w:rPr>
        <w:t xml:space="preserve">    └── Subred  Sala de Bomba Principal  (000029-07)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Sala de Bomba Sexto Piso  (000029-08)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 xml:space="preserve">        └── Sala de Bomba N°2  (000029-10)</w:t>
      </w:r>
    </w:p>
    <w:p>
      <w:pPr>
        <w:spacing w:after="40" w:before="200"/>
      </w:pPr>
      <w:r>
        <w:rPr>
          <w:rFonts w:ascii="Calibri" w:hAnsi="Calibri" w:eastAsia="Calibri"/>
          <w:b/>
          <w:color w:val="005CA8"/>
          <w:sz w:val="28"/>
        </w:rPr>
        <w:t>Club Providencia  ·  000031</w:t>
      </w:r>
    </w:p>
    <w:p>
      <w:pPr>
        <w:spacing w:after="40" w:before="0"/>
      </w:pPr>
      <w:r>
        <w:rPr>
          <w:rFonts w:ascii="Calibri" w:hAnsi="Calibri" w:eastAsia="Calibri"/>
          <w:b w:val="0"/>
          <w:color w:val="555555"/>
          <w:sz w:val="20"/>
        </w:rPr>
        <w:t>Topología: Puntos separados  |  Puntos: 2  |  Estado: Activo</w:t>
      </w:r>
    </w:p>
    <w:p>
      <w:pPr>
        <w:spacing w:after="80" w:before="0"/>
      </w:pPr>
      <w:r>
        <w:rPr>
          <w:rFonts w:ascii="Calibri" w:hAnsi="Calibri" w:eastAsia="Calibri"/>
          <w:b w:val="0"/>
          <w:color w:val="555555"/>
          <w:sz w:val="18"/>
        </w:rPr>
        <w:t>Puntos separados: cada medidor es independiente; no hay subredes hidráulicas entre ellos.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Fitness  (000031-01)</w:t>
      </w:r>
    </w:p>
    <w:p>
      <w:pPr>
        <w:spacing w:after="20" w:before="0"/>
      </w:pPr>
      <w:r>
        <w:rPr>
          <w:rFonts w:ascii="Calibri" w:hAnsi="Calibri" w:eastAsia="Calibri"/>
          <w:b w:val="0"/>
          <w:color w:val="555555"/>
          <w:sz w:val="20"/>
        </w:rPr>
        <w:t>└── Matriz Piscina  (000031-02)</w:t>
      </w:r>
    </w:p>
    <w:sectPr w:rsidR="00FC693F" w:rsidRPr="0006063C" w:rsidSect="00034616">
      <w:pgSz w:w="12240" w:h="15840"/>
      <w:pgMar w:top="1120" w:right="1120" w:bottom="112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