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Auditoria_ICCP_(Cumbre_de_Cóndores_pte.)_000017-07</w:t>
      </w:r>
    </w:p>
    <w:p>
      <w:pPr>
        <w:spacing w:after="80"/>
        <w:jc w:val="center"/>
      </w:pPr>
      <w:r>
        <w:rPr>
          <w:rFonts w:ascii="Calibri" w:hAnsi="Calibri"/>
          <w:b/>
          <w:color w:val="1F4788"/>
          <w:sz w:val="34"/>
        </w:rPr>
        <w:t>ICCP (Cumbre de Cóndores pte.)</w:t>
      </w:r>
      <w:r>
        <w:br/>
      </w:r>
      <w:r>
        <w:rPr>
          <w:rFonts w:ascii="Calibri" w:hAnsi="Calibri"/>
          <w:b/>
          <w:color w:val="1F4788"/>
          <w:sz w:val="34"/>
        </w:rPr>
        <w:t>000017-07</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4 días cada uno: con control hidráulico activo entre el 10 y el 13 de agosto de 2026 y con control desactivado entre el 17 y el 20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ICCP (Cumbre de Cóndores pte.), punto de medición WES 000017-07 (ICCP (Cumbre de Cóndores pte.)), las series se construyen además en rejilla horaria a partir de datos de la plataforma en zona horaria Chile, para el periodo con control (10-08-2026 al 13-08-2026) y el periodo sin control (17-08-2026 al 20-08-2026), en jornada completa 00:00 a 24:00 (una lectura por hora; fin de intervalo exclusivo). Si una hora no tiene dato, se asume 0 m³/h para mantener una grilla comparable (96 intervalos: 4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8588"/>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8588"/>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13 agosto 2026</w:t>
            </w:r>
          </w:p>
        </w:tc>
        <w:tc>
          <w:tcPr>
            <w:tcW w:type="dxa" w:w="2362"/>
            <w:shd w:val="clear" w:fill="FFFFFF"/>
          </w:tcPr>
          <w:p>
            <w:pPr>
              <w:jc w:val="left"/>
            </w:pPr>
            <w:r>
              <w:rPr>
                <w:b w:val="0"/>
                <w:color w:val="000000"/>
              </w:rPr>
              <w:t>57,6</w:t>
            </w:r>
          </w:p>
        </w:tc>
        <w:tc>
          <w:tcPr>
            <w:tcW w:type="dxa" w:w="2362"/>
            <w:shd w:val="clear" w:fill="FFFFFF"/>
          </w:tcPr>
          <w:p>
            <w:pPr>
              <w:jc w:val="left"/>
            </w:pPr>
            <w:r>
              <w:rPr>
                <w:b w:val="0"/>
                <w:color w:val="000000"/>
              </w:rPr>
              <w:t>14,4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20 agosto 2026</w:t>
            </w:r>
          </w:p>
        </w:tc>
        <w:tc>
          <w:tcPr>
            <w:tcW w:type="dxa" w:w="2362"/>
            <w:shd w:val="clear" w:fill="FFFFFF"/>
          </w:tcPr>
          <w:p>
            <w:pPr>
              <w:jc w:val="left"/>
            </w:pPr>
            <w:r>
              <w:rPr>
                <w:b w:val="0"/>
                <w:color w:val="000000"/>
              </w:rPr>
              <w:t>108,9</w:t>
            </w:r>
          </w:p>
        </w:tc>
        <w:tc>
          <w:tcPr>
            <w:tcW w:type="dxa" w:w="2362"/>
            <w:shd w:val="clear" w:fill="FFFFFF"/>
          </w:tcPr>
          <w:p>
            <w:pPr>
              <w:jc w:val="left"/>
            </w:pPr>
            <w:r>
              <w:rPr>
                <w:b w:val="0"/>
                <w:color w:val="000000"/>
              </w:rPr>
              <w:t>27,225</w:t>
            </w:r>
          </w:p>
        </w:tc>
      </w:tr>
    </w:tbl>
    <w:p>
      <w:pPr>
        <w:spacing w:after="120"/>
      </w:pPr>
    </w:p>
    <w:p>
      <w:pPr>
        <w:keepNext w:val="0"/>
        <w:widowControl/>
        <w:jc w:val="both"/>
      </w:pPr>
      <w:r>
        <w:t>Métricas y serie horaria (jornada completa) exportadas: cpa_icco_renca_borrador_000017-07.csv.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(10-08-2026) vs sin control (17-08-2026): consumo diario aproximado (suma de las 24 horas en m³/h) Con WES 16,3 m³; Sin WES (línea base) 21,2 m³; diferencia (Con − Sin) -4,9 m³ (-30,06 % respecto del día con WES).</w:t>
      </w:r>
    </w:p>
    <w:p>
      <w:pPr>
        <w:keepNext/>
        <w:widowControl/>
        <w:spacing w:after="60"/>
        <w:jc w:val="center"/>
      </w:pPr>
      <w:r>
        <w:drawing>
          <wp:inline xmlns:a="http://schemas.openxmlformats.org/drawingml/2006/main" xmlns:pic="http://schemas.openxmlformats.org/drawingml/2006/picture">
            <wp:extent cx="5486400" cy="2721389"/>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21389"/>
                    </a:xfrm>
                    <a:prstGeom prst="rect"/>
                  </pic:spPr>
                </pic:pic>
              </a:graphicData>
            </a:graphic>
          </wp:inline>
        </w:drawing>
      </w:r>
    </w:p>
    <w:p>
      <w:pPr>
        <w:spacing w:after="160"/>
      </w:pPr>
    </w:p>
    <w:p>
      <w:pPr>
        <w:keepNext/>
        <w:widowControl/>
        <w:jc w:val="both"/>
      </w:pPr>
      <w:r>
        <w:t>Martes — día homólogo con control (11-08-2026) vs sin control (18-08-2026): consumo diario aproximado (suma de las 24 horas en m³/h) Con WES 15,5 m³; Sin WES (línea base) 21,4 m³; diferencia (Con − Sin) -5,9 m³ (-38,06 % respecto del día con WES).</w:t>
      </w:r>
    </w:p>
    <w:p>
      <w:pPr>
        <w:keepNext/>
        <w:widowControl/>
        <w:spacing w:after="60"/>
        <w:jc w:val="center"/>
      </w:pPr>
      <w:r>
        <w:drawing>
          <wp:inline xmlns:a="http://schemas.openxmlformats.org/drawingml/2006/main" xmlns:pic="http://schemas.openxmlformats.org/drawingml/2006/picture">
            <wp:extent cx="5486400" cy="2721389"/>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21389"/>
                    </a:xfrm>
                    <a:prstGeom prst="rect"/>
                  </pic:spPr>
                </pic:pic>
              </a:graphicData>
            </a:graphic>
          </wp:inline>
        </w:drawing>
      </w:r>
    </w:p>
    <w:p>
      <w:pPr>
        <w:spacing w:after="160"/>
      </w:pPr>
    </w:p>
    <w:p>
      <w:pPr>
        <w:keepNext/>
        <w:widowControl/>
        <w:jc w:val="both"/>
      </w:pPr>
      <w:r>
        <w:t>Miércoles — día homólogo con control (12-08-2026) vs sin control (19-08-2026): consumo diario aproximado (suma de las 24 horas en m³/h) Con WES 13,5 m³; Sin WES (línea base) 49,7 m³; diferencia (Con − Sin) -36,2 m³ (-268,15 % respecto del día con WES).</w:t>
      </w:r>
    </w:p>
    <w:p>
      <w:pPr>
        <w:keepNext/>
        <w:widowControl/>
        <w:spacing w:after="60"/>
        <w:jc w:val="center"/>
      </w:pPr>
      <w:r>
        <w:drawing>
          <wp:inline xmlns:a="http://schemas.openxmlformats.org/drawingml/2006/main" xmlns:pic="http://schemas.openxmlformats.org/drawingml/2006/picture">
            <wp:extent cx="5486400" cy="2723054"/>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23054"/>
                    </a:xfrm>
                    <a:prstGeom prst="rect"/>
                  </pic:spPr>
                </pic:pic>
              </a:graphicData>
            </a:graphic>
          </wp:inline>
        </w:drawing>
      </w:r>
    </w:p>
    <w:p>
      <w:pPr>
        <w:spacing w:after="160"/>
      </w:pPr>
    </w:p>
    <w:p>
      <w:pPr>
        <w:keepNext/>
        <w:widowControl/>
        <w:jc w:val="both"/>
      </w:pPr>
      <w:r>
        <w:t>Jueves — día homólogo con control (13-08-2026) vs sin control (20-08-2026): consumo diario aproximado (suma de las 24 horas en m³/h) Con WES 12,3 m³; Sin WES (línea base) 16,6 m³; diferencia (Con − Sin) -4,3 m³ (-34,96 % respecto del día con WES).</w:t>
      </w:r>
    </w:p>
    <w:p>
      <w:pPr>
        <w:keepNext/>
        <w:widowControl/>
        <w:spacing w:after="60"/>
        <w:jc w:val="center"/>
      </w:pPr>
      <w:r>
        <w:drawing>
          <wp:inline xmlns:a="http://schemas.openxmlformats.org/drawingml/2006/main" xmlns:pic="http://schemas.openxmlformats.org/drawingml/2006/picture">
            <wp:extent cx="5486400" cy="2723054"/>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23054"/>
                    </a:xfrm>
                    <a:prstGeom prst="rect"/>
                  </pic:spPr>
                </pic:pic>
              </a:graphicData>
            </a:graphic>
          </wp:inline>
        </w:drawing>
      </w:r>
    </w:p>
    <w:p>
      <w:pPr>
        <w:spacing w:after="160"/>
      </w:pPr>
    </w:p>
    <w:p>
      <w:pPr>
        <w:keepNext/>
        <w:widowControl/>
        <w:jc w:val="both"/>
      </w:pPr>
      <w:r>
        <w:t>Promedio horario de los 4 días homólogos (gráfico siguiente): Con WES 14,4 m³/día; Sin WES 27,225 m³/día; diferencia media -12,825 m³/día (-89,06 % sobre el promedio con WES).</w:t>
      </w:r>
    </w:p>
    <w:p>
      <w:pPr>
        <w:widowControl/>
        <w:spacing w:after="60"/>
        <w:jc w:val="center"/>
      </w:pPr>
      <w:r>
        <w:drawing>
          <wp:inline xmlns:a="http://schemas.openxmlformats.org/drawingml/2006/main" xmlns:pic="http://schemas.openxmlformats.org/drawingml/2006/picture">
            <wp:extent cx="5486400" cy="2721389"/>
            <wp:docPr id="6" name="Picture 6"/>
            <wp:cNvGraphicFramePr>
              <a:graphicFrameLocks noChangeAspect="1"/>
            </wp:cNvGraphicFramePr>
            <a:graphic>
              <a:graphicData uri="http://schemas.openxmlformats.org/drawingml/2006/picture">
                <pic:pic>
                  <pic:nvPicPr>
                    <pic:cNvPr id="0" name="03_area_promedio_24h.png"/>
                    <pic:cNvPicPr/>
                  </pic:nvPicPr>
                  <pic:blipFill>
                    <a:blip r:embed="rId32"/>
                    <a:stretch>
                      <a:fillRect/>
                    </a:stretch>
                  </pic:blipFill>
                  <pic:spPr>
                    <a:xfrm>
                      <a:off x="0" y="0"/>
                      <a:ext cx="5486400" cy="2721389"/>
                    </a:xfrm>
                    <a:prstGeom prst="rect"/>
                  </pic:spPr>
                </pic:pic>
              </a:graphicData>
            </a:graphic>
          </wp:inline>
        </w:drawing>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13 agosto 2026)</w:t>
            </w:r>
          </w:p>
        </w:tc>
        <w:tc>
          <w:tcPr>
            <w:tcW w:type="dxa" w:w="4725"/>
          </w:tcPr>
          <w:p>
            <w:pPr>
              <w:jc w:val="left"/>
            </w:pPr>
            <w:r>
              <w:rPr>
                <w:b w:val="0"/>
                <w:color w:val="000000"/>
              </w:rPr>
              <w:t>14.40 m3/dia</w:t>
            </w:r>
          </w:p>
        </w:tc>
      </w:tr>
      <w:tr>
        <w:tc>
          <w:tcPr>
            <w:tcW w:type="dxa" w:w="4725"/>
          </w:tcPr>
          <w:p>
            <w:pPr>
              <w:jc w:val="left"/>
            </w:pPr>
            <w:r>
              <w:rPr>
                <w:b/>
                <w:color w:val="000000"/>
              </w:rPr>
              <w:t>Promedio diario con control desactivado (17 al 20 agosto 2026)</w:t>
            </w:r>
          </w:p>
        </w:tc>
        <w:tc>
          <w:tcPr>
            <w:tcW w:type="dxa" w:w="4725"/>
          </w:tcPr>
          <w:p>
            <w:pPr>
              <w:jc w:val="left"/>
            </w:pPr>
            <w:r>
              <w:rPr>
                <w:b w:val="0"/>
                <w:color w:val="000000"/>
              </w:rPr>
              <w:t>27.23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12.83 m3/dia</w:t>
            </w:r>
          </w:p>
        </w:tc>
      </w:tr>
      <w:tr>
        <w:tc>
          <w:tcPr>
            <w:tcW w:type="dxa" w:w="4725"/>
          </w:tcPr>
          <w:p>
            <w:pPr>
              <w:jc w:val="left"/>
            </w:pPr>
            <w:r>
              <w:rPr>
                <w:b/>
                <w:color w:val="000000"/>
              </w:rPr>
              <w:t>Ahorro porcentual</w:t>
            </w:r>
          </w:p>
        </w:tc>
        <w:tc>
          <w:tcPr>
            <w:tcW w:type="dxa" w:w="4725"/>
          </w:tcPr>
          <w:p>
            <w:pPr>
              <w:jc w:val="left"/>
            </w:pPr>
            <w:r>
              <w:rPr>
                <w:b w:val="0"/>
                <w:color w:val="000000"/>
              </w:rPr>
              <w:t>47.11%</w:t>
            </w:r>
          </w:p>
        </w:tc>
      </w:tr>
      <w:tr>
        <w:tc>
          <w:tcPr>
            <w:tcW w:type="dxa" w:w="4725"/>
          </w:tcPr>
          <w:p>
            <w:pPr>
              <w:jc w:val="left"/>
            </w:pPr>
            <w:r>
              <w:rPr>
                <w:b/>
                <w:color w:val="000000"/>
              </w:rPr>
              <w:t>Diferencia neta (desactivado - activo)</w:t>
            </w:r>
          </w:p>
        </w:tc>
        <w:tc>
          <w:tcPr>
            <w:tcW w:type="dxa" w:w="4725"/>
          </w:tcPr>
          <w:p>
            <w:pPr>
              <w:jc w:val="left"/>
            </w:pPr>
            <w:r>
              <w:rPr>
                <w:b w:val="0"/>
                <w:color w:val="000000"/>
              </w:rPr>
              <w:t>12.83 m3/dia</w:t>
            </w:r>
          </w:p>
        </w:tc>
      </w:tr>
    </w:tbl>
    <w:p>
      <w:pPr>
        <w:spacing w:after="160"/>
      </w:pPr>
    </w:p>
    <w:p>
      <w:pPr>
        <w:keepNext w:val="0"/>
        <w:widowControl/>
        <w:jc w:val="both"/>
      </w:pPr>
      <w:r>
        <w:t>En la rejilla analizada (4 días, 00:00–24:00), Con WES 57,6 m³ y Sin WES 108,9 m³; volumen evitado respecto de Sin WES: 51,3 m³ (~66.690 CLP a 1.300 CLP/m³, orientativo). Cuadros y gráficos: Registros de consumos.</w:t>
      </w:r>
    </w:p>
    <w:p/>
    <w:p>
      <w:pPr>
        <w:jc w:val="center"/>
      </w:pPr>
      <w:r>
        <w:rPr>
          <w:sz w:val="22"/>
        </w:rPr>
        <w:t xml:space="preserve">Ahorro sobre Sin WES: </w:t>
      </w:r>
      <w:r>
        <w:rPr>
          <w:b/>
          <w:sz w:val="28"/>
        </w:rPr>
        <w:t>47,11 %</w:t>
      </w:r>
    </w:p>
    <w:p/>
    <w:p>
      <w:pPr>
        <w:jc w:val="center"/>
      </w:pPr>
      <w:r>
        <w:rPr>
          <w:color w:val="646464"/>
          <w:sz w:val="18"/>
        </w:rPr>
        <w:t>Documento generado automáticamente — 20-08-2026 21:19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