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Fundo Zapallar — m³ mensuales: medidor ESVAL, Matriz y Estanque Inferior</w:t>
      </w:r>
    </w:p>
    <w:p>
      <w:r>
        <w:rPr>
          <w:sz w:val="18"/>
        </w:rPr>
        <w:t>Validación tras los ajustes del estanque inferior y de la matriz ESVAL para que el ultrasónico cuente como el medidor de turbina de la sanitaria. La matriz principal llena el estanque inferior, así que ambos WES deberían coincidir (±15 %). Contra el medidor ESVAL: ±5 % cuadra, ±15 % cerca. WES día completo 00:00–24:00 Chile, sin recorte de 12:00.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  <w:gridCol w:w="1459"/>
      </w:tblGrid>
      <w:tr>
        <w:tc>
          <w:tcPr>
            <w:tcW w:type="dxa" w:w="1459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Mes (ciclo ESVAL)</w:t>
            </w:r>
          </w:p>
        </w:tc>
        <w:tc>
          <w:tcPr>
            <w:tcW w:type="dxa" w:w="1459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Ciclo lectura</w:t>
            </w:r>
          </w:p>
        </w:tc>
        <w:tc>
          <w:tcPr>
            <w:tcW w:type="dxa" w:w="1459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Medidor ESVAL (m³)</w:t>
            </w:r>
          </w:p>
        </w:tc>
        <w:tc>
          <w:tcPr>
            <w:tcW w:type="dxa" w:w="1459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Matriz WES (m³)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Estanque Inf. (m³)</w:t>
            </w:r>
          </w:p>
        </w:tc>
        <w:tc>
          <w:tcPr>
            <w:tcW w:type="dxa" w:w="1459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 vs ESVAL</w:t>
            </w:r>
          </w:p>
        </w:tc>
        <w:tc>
          <w:tcPr>
            <w:tcW w:type="dxa" w:w="1459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Matriz vs ESVAL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Inf vs Matriz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E79"/>
                <w:sz w:val="15"/>
              </w:rPr>
              <w:t>Inf ≈ Matriz</w:t>
            </w:r>
          </w:p>
        </w:tc>
        <w:tc>
          <w:tcPr>
            <w:tcW w:type="dxa" w:w="1459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5"/>
              </w:rPr>
              <w:t>Inf ≈ ESVAL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Sep-25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28/08–27/09/25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3.375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3.317,6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3.080,8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-294,2 (−8,7%)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-57,4 (−1,7%)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-236,8 (−7,1%)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</w:t>
            </w:r>
          </w:p>
        </w:tc>
        <w:tc>
          <w:tcPr>
            <w:tcW w:type="dxa" w:w="1459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cerca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Oct-25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27/09–29/10/25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3.973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4.217,7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4.397,1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424,1 (+10,7%)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244,7 (+6,2%)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179,3 (+4,2%)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</w:t>
            </w:r>
          </w:p>
        </w:tc>
        <w:tc>
          <w:tcPr>
            <w:tcW w:type="dxa" w:w="1459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cerca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Nov-25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29/10–28/11/25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5.711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5.838,7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5.217,7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-493,3 (−8,6%)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127,7 (+2,2%)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-621 (−10,6%)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</w:t>
            </w:r>
          </w:p>
        </w:tc>
        <w:tc>
          <w:tcPr>
            <w:tcW w:type="dxa" w:w="1459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cerca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Dic-25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28/11–30/12/25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6.319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6.530,2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5.543,5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-775,5 (−12,3%)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211,2 (+3,3%)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-986,8 (−15,1%)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459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cerca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Ene-26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30/12/25–30/01/26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7.193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7.478,8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6.341,4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-851,6 (−11,8%)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285,8 (+4%)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-1.137,5 (−15,2%)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459"/>
            <w:shd w:fill="FFF2C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cerca</w:t>
            </w:r>
          </w:p>
        </w:tc>
      </w:tr>
      <w:tr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Feb-26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30/01–27/02/26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6.478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5.857,8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6.755,5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277,5 (+4,3%)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-620,2 (−9,6%)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897,7 (+15,3%)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</w:t>
            </w:r>
          </w:p>
        </w:tc>
      </w:tr>
      <w:tr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Mar-26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27/02–30/03/26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6.793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1.905,7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12.228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5.435 (+80%)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-4.887,3 (−72%)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10.322,2 (+541,6%)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Abr-26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30/03–29/04/26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6.034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3.113,4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9.172,9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3.138,9 (+52%)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-2.920,6 (−48,4%)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6.059,4 (+194,6%)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May-26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29/04–29/05/26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4.566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3.332,5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3.056,1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-1.509,9 (−33,1%)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-1.233,5 (−27%)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-276,4 (−8,3%)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Jun-26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29/05–27/06/26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3.707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2.481,5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3.055,2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-651,9 (−17,6%)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-1.225,5 (−33,1%)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573,7 (+23,1%)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Jul-26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27/06–29/07/26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5.067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3.316,9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2.433,1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-2.633,9 (−52%)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-1.750,1 (−34,5%)</w:t>
            </w:r>
          </w:p>
        </w:tc>
        <w:tc>
          <w:tcPr>
            <w:tcW w:type="dxa" w:w="1459"/>
            <w:shd w:fill="F8CBAD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-883,8 (−26,6%)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Ago-26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29/07–28/08/26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2.079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1.804,1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1.676,3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-402,7 (−19,4%)</w:t>
            </w:r>
          </w:p>
        </w:tc>
        <w:tc>
          <w:tcPr>
            <w:tcW w:type="dxa" w:w="1459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-274,9 (−13,2%)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-127,8 (−7,1%)</w:t>
            </w:r>
          </w:p>
        </w:tc>
        <w:tc>
          <w:tcPr>
            <w:tcW w:type="dxa" w:w="1459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</w:t>
            </w:r>
          </w:p>
        </w:tc>
        <w:tc>
          <w:tcPr>
            <w:tcW w:type="dxa" w:w="1459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NO</w:t>
            </w:r>
          </w:p>
        </w:tc>
      </w:tr>
      <w:tr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TOTAL 12 meses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61.295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49.195</w:t>
            </w:r>
          </w:p>
        </w:tc>
        <w:tc>
          <w:tcPr>
            <w:tcW w:type="dxa" w:w="1459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62.957,4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1.662,4 (+2,7%)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-12.100 (−19,7%)</w:t>
            </w:r>
          </w:p>
        </w:tc>
        <w:tc>
          <w:tcPr>
            <w:tcW w:type="dxa" w:w="1459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13.762,4 (+28%)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</w:r>
          </w:p>
        </w:tc>
      </w:tr>
      <w:tr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TOTAL sin transición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10 ciclos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48.024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41.431,5</w:t>
            </w:r>
          </w:p>
        </w:tc>
        <w:tc>
          <w:tcPr>
            <w:tcW w:type="dxa" w:w="1459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43.974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-4.050 (−8,4%)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-6.592,5 (−13,7%)</w:t>
            </w:r>
          </w:p>
        </w:tc>
        <w:tc>
          <w:tcPr>
            <w:tcW w:type="dxa" w:w="1459"/>
            <w:shd w:fill="C5D9F1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2.542,4 (+6,1%)</w:t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</w:r>
          </w:p>
        </w:tc>
        <w:tc>
          <w:tcPr>
            <w:tcW w:type="dxa" w:w="1459"/>
            <w:shd w:fill="D6E3F0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3221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iclo_esval_matriz_in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3221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Mes calendario (solo WES): Matriz vs Estanque Inferior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2"/>
        <w:gridCol w:w="2432"/>
        <w:gridCol w:w="2432"/>
        <w:gridCol w:w="2432"/>
        <w:gridCol w:w="2432"/>
        <w:gridCol w:w="2432"/>
      </w:tblGrid>
      <w:tr>
        <w:tc>
          <w:tcPr>
            <w:tcW w:type="dxa" w:w="2432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Mes</w:t>
            </w:r>
          </w:p>
        </w:tc>
        <w:tc>
          <w:tcPr>
            <w:tcW w:type="dxa" w:w="2432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Matriz WES (m³)</w:t>
            </w:r>
          </w:p>
        </w:tc>
        <w:tc>
          <w:tcPr>
            <w:tcW w:type="dxa" w:w="2432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Estanque Inf. (m³)</w:t>
            </w:r>
          </w:p>
        </w:tc>
        <w:tc>
          <w:tcPr>
            <w:tcW w:type="dxa" w:w="2432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Inf − Matriz (m³)</w:t>
            </w:r>
          </w:p>
        </w:tc>
        <w:tc>
          <w:tcPr>
            <w:tcW w:type="dxa" w:w="2432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Dif. %</w:t>
            </w:r>
          </w:p>
        </w:tc>
        <w:tc>
          <w:tcPr>
            <w:tcW w:type="dxa" w:w="2432"/>
            <w:shd w:fill="1F4E79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Inf ≈ Matriz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Ago-2025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582,2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361,3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-220,9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−38%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Sep-2025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3.156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3.069,8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-86,2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−2,7%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Oct-2025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4.364,5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4.531,5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167,1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+3,8%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Nov-2025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5.432,3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4.798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-634,2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−11,7%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Dic-2025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6.359,3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5.390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-969,2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−15,2%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Ene-2026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7.097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6.007,8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-1.089,2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−15,3%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Feb-2026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5.381,1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6.673,4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1.292,2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+24%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Mar-2026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1.980,2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11.841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9.860,8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+498%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Abr-2026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3.097,4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8.456,7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5.359,2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+173%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May-2026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3.236,2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2.970,2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-266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−8,2%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Jun-2026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2.444,3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3.118,5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674,2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+27,6%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Jul-2026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3.105,3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2.047,3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-1.058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−34,1%</w:t>
            </w:r>
          </w:p>
        </w:tc>
        <w:tc>
          <w:tcPr>
            <w:tcW w:type="dxa" w:w="2432"/>
            <w:shd w:fill="F4C7C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NO</w:t>
            </w:r>
          </w:p>
        </w:tc>
      </w:tr>
      <w:tr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Ago-2026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1.646,8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1.529,1</w:t>
            </w:r>
          </w:p>
        </w:tc>
        <w:tc>
          <w:tcPr>
            <w:tcW w:type="dxa" w:w="2432"/>
            <w:shd w:fill="FFFFFF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-117,8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−7,2%</w:t>
            </w:r>
          </w:p>
        </w:tc>
        <w:tc>
          <w:tcPr>
            <w:tcW w:type="dxa" w:w="2432"/>
            <w:shd w:fill="C6E0B4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6"/>
              </w:rPr>
              <w:t>SI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418320" cy="29588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es_matriz_in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18320" cy="295881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680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