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03366"/>
          <w:sz w:val="30"/>
        </w:rPr>
        <w:t>ANÁLISIS PILOTO — CLÍNICA BUPA ANTOFAGASTA</w:t>
        <w:br/>
        <w:t>Consumo 31/07/2026 al 30/09/2026</w:t>
      </w:r>
    </w:p>
    <w:p>
      <w:pPr>
        <w:keepNext/>
        <w:widowControl/>
        <w:spacing w:after="60"/>
      </w:pPr>
      <w:r>
        <w:rPr>
          <w:b/>
          <w:color w:val="003366"/>
        </w:rPr>
        <w:t>1. DISPONIBILIDAD DE DATA POR PUNTO (RANGOS EXACTOS)</w:t>
      </w:r>
    </w:p>
    <w:p>
      <w:pPr>
        <w:spacing w:after="80" w:before="0"/>
        <w:jc w:val="both"/>
      </w:pPr>
      <w:r>
        <w:rPr>
          <w:color w:val="000000"/>
        </w:rPr>
        <w:t>Se revisó día a día cada punto entre el inicio y el fin del periodo. Donde falta registro se indica el rango exacto. Sala de Bomba N°2 queda fuera de este informe (lecturas erradas desde septiembre).</w:t>
      </w:r>
    </w:p>
    <w:p/>
    <w:p>
      <w:pPr>
        <w:keepNext/>
        <w:widowControl/>
        <w:spacing w:after="60"/>
      </w:pPr>
      <w:r>
        <w:rPr>
          <w:b/>
          <w:color w:val="003366"/>
        </w:rPr>
        <w:t>COBERTURA DE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8"/>
        <w:gridCol w:w="1155"/>
        <w:gridCol w:w="1644"/>
        <w:gridCol w:w="3672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Días con data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Huecos sin registro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62 / 62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62 / 62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58 / 62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14/08/2026–17/08/2026 (4 días)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Hueco asociado a lluvias en Antofagasta (afectó conectividad/data).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2. RESUMEN EJECUTIVO</w:t>
      </w:r>
    </w:p>
    <w:p/>
    <w:p>
      <w:pPr>
        <w:keepNext/>
        <w:widowControl/>
        <w:spacing w:after="60"/>
      </w:pPr>
      <w:r>
        <w:rPr>
          <w:b/>
          <w:color w:val="003366"/>
        </w:rPr>
        <w:t>RESUMEN DEL PERIODO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25"/>
        <w:gridCol w:w="1872"/>
        <w:gridCol w:w="1872"/>
        <w:gridCol w:w="1591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Consumo periodo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Medidor Principal Sanitaria (100%)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4.646,1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74,9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2.523,7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40,7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54,3%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287,9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6,2%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TOTAL Principal + Sexto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2.811,6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45,3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60,5%</w:t>
            </w:r>
          </w:p>
        </w:tc>
      </w:tr>
      <w:tr>
        <w:trPr>
          <w:cantSplit/>
        </w:trPr>
        <w:tc>
          <w:tcPr>
            <w:tcW w:type="dxa" w:w="2556"/>
            <w:shd w:val="clear" w:fill="D9E1F2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NO MONITOREADO (Sanitaria − Princ. − Sexto)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1.834,5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29,6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39,5%</w:t>
            </w:r>
          </w:p>
        </w:tc>
      </w:tr>
    </w:tbl>
    <w:p>
      <w:pPr>
        <w:spacing w:after="80" w:before="0"/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Las dos salas de abajo (Principal + Sexto) suman 60,5% de Sanitaria; queda 39,5% no monitoreado (1.834,5 m³).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1791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perio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91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3. CONSUMO MONITOREADO — TRES PUNTOS</w:t>
      </w:r>
    </w:p>
    <w:p>
      <w:pPr>
        <w:spacing w:after="40" w:before="0"/>
        <w:jc w:val="both"/>
      </w:pPr>
      <w:r>
        <w:rPr>
          <w:color w:val="000000"/>
        </w:rPr>
        <w:t>Por cada punto: consumo día a día, promedio lun–dom, día pico, día mínimo y perfiles de 24 h (pico, mínimo y tres días más cercanos al promedio).</w:t>
      </w:r>
    </w:p>
    <w:p>
      <w:pPr>
        <w:keepNext/>
        <w:spacing w:before="40" w:after="40"/>
      </w:pPr>
      <w:r>
        <w:rPr>
          <w:b/>
          <w:color w:val="003366"/>
          <w:sz w:val="22"/>
        </w:rPr>
        <w:t>3.1 MEDIDOR PRINCIPAL SANITARIA</w:t>
      </w:r>
    </w:p>
    <w:p>
      <w:pPr>
        <w:spacing w:after="40" w:before="0"/>
        <w:jc w:val="both"/>
      </w:pPr>
      <w:r>
        <w:rPr>
          <w:color w:val="000000"/>
        </w:rPr>
        <w:t>Total: 4.646,1 m³ · Promedio: 74,9 m³/día · Pico: 28-08-26 (162,3 m³) · Mínimo: 29-09-26 (16,4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03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40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ani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0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SANITARIA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  <w:tblHeader/>
        </w:trPr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79,16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85,87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83,46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81,99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85,78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68,26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56,48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3.1 PERFILES 24 H — SANITARIA</w:t>
      </w:r>
    </w:p>
    <w:p>
      <w:pPr>
        <w:spacing w:after="40" w:before="0"/>
        <w:jc w:val="both"/>
      </w:pPr>
      <w:r>
        <w:rPr>
          <w:color w:val="000000"/>
        </w:rPr>
        <w:t>Día pico, día mínimo y tres días con consumo más cercano al promedio (74,9 m³/día).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3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pico_sanita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3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in_sanit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3.1 DÍAS CERCANOS AL PROMEDIO — SANITARIA</w:t>
      </w:r>
    </w:p>
    <w:p>
      <w:pPr>
        <w:spacing w:after="40" w:before="0"/>
        <w:jc w:val="both"/>
      </w:pPr>
      <w:r>
        <w:rPr>
          <w:color w:val="000000"/>
        </w:rPr>
        <w:t>Promedio del periodo: 74,9 m³/día. Días seleccionados: 16/08 (75,9 m³, Δ 1); 23/08 (73,9 m³, Δ 1); 09/08 (76,2 m³, Δ 1,2).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6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1_sanit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61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2_sanita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61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3_sanita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3.2 SALA DE BOMBA PRINCIPAL</w:t>
      </w:r>
    </w:p>
    <w:p>
      <w:pPr>
        <w:spacing w:after="40" w:before="0"/>
        <w:jc w:val="both"/>
      </w:pPr>
      <w:r>
        <w:rPr>
          <w:color w:val="000000"/>
        </w:rPr>
        <w:t>Total: 2.523,7 m³ · Promedio: 40,7 m³/día · Pico: 04-08-26 (68 m³) · Mínimo: 27-09-26 (1,8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037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princip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402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princip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0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  <w:tblHeader/>
        </w:trPr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45,59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47,8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46,52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42,83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43,08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37,31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30,34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3.2 PERFILES 24 H — BOMBA PRINCIPAL</w:t>
      </w:r>
    </w:p>
    <w:p>
      <w:pPr>
        <w:spacing w:after="40" w:before="0"/>
        <w:jc w:val="both"/>
      </w:pPr>
      <w:r>
        <w:rPr>
          <w:color w:val="000000"/>
        </w:rPr>
        <w:t>Día pico, día mínimo y tres días con consumo más cercano al promedio (40,7 m³/día).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3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pico_bomba_princip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31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in_bomba_princip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3.2 DÍAS CERCANOS AL PROMEDIO — BOMBA PRINCIPAL</w:t>
      </w:r>
    </w:p>
    <w:p>
      <w:pPr>
        <w:spacing w:after="40" w:before="0"/>
        <w:jc w:val="both"/>
      </w:pPr>
      <w:r>
        <w:rPr>
          <w:color w:val="000000"/>
        </w:rPr>
        <w:t>Promedio del periodo: 40,7 m³/día. Días seleccionados: 30/08 (40,8 m³, Δ 0,1); 23/08 (41 m³, Δ 0,3); 19/08 (43,3 m³, Δ 2,6).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61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1_bomba_princip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61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2_bomba_princip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61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3_bomba_princip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3.3 SALA DE BOMBA SEXTO PISO</w:t>
      </w:r>
    </w:p>
    <w:p>
      <w:pPr>
        <w:spacing w:after="40" w:before="0"/>
        <w:jc w:val="both"/>
      </w:pPr>
      <w:r>
        <w:rPr>
          <w:color w:val="000000"/>
        </w:rPr>
        <w:t>Total: 287,9 m³ · Promedio: 5 m³/día · Pico: 08-08-26 (12,1 m³) · Mínimo: 18-08-26 (1,4 m³) · Sin data: 14/08/2026–17/08/2026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037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exto_pis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402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exto_pis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0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SEXTO PISO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  <w:tblHeader/>
        </w:trPr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5,07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5,82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5,22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5,34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5,45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5,53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4,45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3.3 PERFILES 24 H — SEXTO PISO</w:t>
      </w:r>
    </w:p>
    <w:p>
      <w:pPr>
        <w:spacing w:after="40" w:before="0"/>
        <w:jc w:val="both"/>
      </w:pPr>
      <w:r>
        <w:rPr>
          <w:color w:val="000000"/>
        </w:rPr>
        <w:t>Día pico, día mínimo y tres días con consumo más cercano al promedio (5 m³/día).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31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pico_sexto_pis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31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in_sexto_pis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3.3 DÍAS CERCANOS AL PROMEDIO — SEXTO PISO</w:t>
      </w:r>
    </w:p>
    <w:p>
      <w:pPr>
        <w:spacing w:after="40" w:before="0"/>
        <w:jc w:val="both"/>
      </w:pPr>
      <w:r>
        <w:rPr>
          <w:color w:val="000000"/>
        </w:rPr>
        <w:t>Promedio del periodo: 5 m³/día. Días seleccionados: 10/09 (5 m³, Δ 0); 24/08 (4,9 m³, Δ 0,1); 11/09 (4,9 m³, Δ 0,1).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78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1_sexto_pis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78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2_sexto_pis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78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3_sexto_pis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4. PARTICIPACIÓN % VS SANITARIA — POR MES</w:t>
      </w:r>
    </w:p>
    <w:p>
      <w:pPr>
        <w:spacing w:after="80" w:before="0"/>
        <w:jc w:val="both"/>
      </w:pPr>
      <w:r>
        <w:rPr>
          <w:color w:val="000000"/>
        </w:rPr>
        <w:t>Sanitaria = 100%. Solo Principal y Sexto Piso (Bomba N°2 excluida).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MENSUAL SOBRE SANITARIA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1"/>
        <w:gridCol w:w="1680"/>
        <w:gridCol w:w="1540"/>
        <w:gridCol w:w="1379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Principal %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Sexto 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Julio 2026 (31/07/2026–31/07/2026)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84,5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58,1%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7,4%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Agosto 2026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2.958,5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57,3%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4,4%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Septiembre 2026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1.603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48,6%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9,5%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29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mensu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5. PARTICIPACIÓN % VS SANITARIA — POR SEMANA</w:t>
      </w:r>
    </w:p>
    <w:p>
      <w:pPr>
        <w:spacing w:after="40" w:before="0"/>
        <w:jc w:val="both"/>
      </w:pPr>
      <w:r>
        <w:rPr>
          <w:color w:val="000000"/>
        </w:rPr>
        <w:t>Misma lógica semanal (lun–dom), sin Bomba N°2.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SEMANAL SOBRE SANITARIA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336"/>
        <w:gridCol w:w="1224"/>
        <w:gridCol w:w="855"/>
        <w:gridCol w:w="1558"/>
        <w:gridCol w:w="1002"/>
      </w:tblGrid>
      <w:tr>
        <w:trPr>
          <w:cantSplit/>
          <w:tblHeader/>
        </w:trPr>
        <w:tc>
          <w:tcPr>
            <w:tcW w:type="dxa" w:w="1704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704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Sanitaria m³</w:t>
            </w:r>
          </w:p>
        </w:tc>
        <w:tc>
          <w:tcPr>
            <w:tcW w:type="dxa" w:w="1704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Principal %</w:t>
            </w:r>
          </w:p>
        </w:tc>
        <w:tc>
          <w:tcPr>
            <w:tcW w:type="dxa" w:w="1704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Sexto %</w:t>
            </w:r>
          </w:p>
        </w:tc>
        <w:tc>
          <w:tcPr>
            <w:tcW w:type="dxa" w:w="1704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Princ.+Sexto %</w:t>
            </w:r>
          </w:p>
        </w:tc>
        <w:tc>
          <w:tcPr>
            <w:tcW w:type="dxa" w:w="1704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No mon. %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31/07–02/08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252,1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58,2%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6,2%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64,4%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35,6%</w:t>
            </w:r>
          </w:p>
        </w:tc>
      </w:tr>
      <w:tr>
        <w:trPr>
          <w:cantSplit/>
        </w:trPr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03/08–09/08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726,9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60,2%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7,2%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67,4%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32,6%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10/08–16/08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672,1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58%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2,7%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60,7%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39,3%</w:t>
            </w:r>
          </w:p>
        </w:tc>
      </w:tr>
      <w:tr>
        <w:trPr>
          <w:cantSplit/>
        </w:trPr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17/08–23/08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572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57,1%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60,1%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39,9%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24/08–30/08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723,1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52,5%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56,6%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43,4%</w:t>
            </w:r>
          </w:p>
        </w:tc>
      </w:tr>
      <w:tr>
        <w:trPr>
          <w:cantSplit/>
        </w:trPr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31/08–06/09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59,8%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63,9%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36,1%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07/09–13/09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466,5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52,5%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7,7%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60,3%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39,7%</w:t>
            </w:r>
          </w:p>
        </w:tc>
      </w:tr>
      <w:tr>
        <w:trPr>
          <w:cantSplit/>
        </w:trPr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14/09–20/09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276,3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35,9%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14,3%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50,1%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49,9%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21/09–27/09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249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34,1%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15,6%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49,8%</w:t>
            </w:r>
          </w:p>
        </w:tc>
        <w:tc>
          <w:tcPr>
            <w:tcW w:type="dxa" w:w="1704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50,2%</w:t>
            </w:r>
          </w:p>
        </w:tc>
      </w:tr>
      <w:tr>
        <w:trPr>
          <w:cantSplit/>
        </w:trPr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28/09–30/09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65,9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44,4%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23,9%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68,4%</w:t>
            </w:r>
          </w:p>
        </w:tc>
        <w:tc>
          <w:tcPr>
            <w:tcW w:type="dxa" w:w="1704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31,6%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580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seman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8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6. CONCLUSIONES PARA CIERRE</w:t>
      </w:r>
    </w:p>
    <w:p>
      <w:pPr>
        <w:spacing w:after="80" w:before="0"/>
        <w:jc w:val="both"/>
      </w:pPr>
      <w:r>
        <w:rPr>
          <w:color w:val="000000"/>
        </w:rPr>
        <w:t>1) Periodo: 31/07/2026–30/09/2026.</w:t>
        <w:br/>
        <w:t>2) Huecos: solo Sexto Piso 14/08/2026–17/08/2026 (lluvias); Sanitaria y Principal sin huecos.</w:t>
        <w:br/>
        <w:t>3) Balance: Principal+Sexto = 60,5%; no monitoreado = 39,5% (1.834,5 m³).</w:t>
        <w:br/>
        <w:t>4) Sala de Bomba N°2 excluida del análisis (lecturas erradas desde septiembre).</w:t>
        <w:br/>
        <w:t>5) Por cada punto se presentan perfiles 24 h del día pico, del día mínimo y de tres días cercanos al promedio (cuando la API horaria no respondió, se usó reparto uniforme total/24 a partir del consumo diario).</w:t>
        <w:br/>
        <w:t>6) Hipótesis de gap: empalme desde matriz principal antes de impulsión 2° piso.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