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Calibri" w:hAnsi="Calibri"/>
          <w:color w:val="1F4788"/>
          <w:sz w:val="36"/>
        </w:rPr>
        <w:t>Informe interno — Revisión y validación Matriz ESVAL</w:t>
      </w:r>
    </w:p>
    <w:p>
      <w:pPr>
        <w:spacing w:after="80"/>
      </w:pPr>
      <w:r>
        <w:rPr>
          <w:rFonts w:ascii="Calibri" w:hAnsi="Calibri" w:eastAsia="Calibri"/>
          <w:b w:val="0"/>
          <w:color w:val="646E78"/>
          <w:sz w:val="18"/>
        </w:rPr>
        <w:t>Fundo Zapallar  ·  Matriz ESVAL (000027-01)  ·  Uso interno WES</w:t>
        <w:br/>
        <w:t>Validaciones: 22-09-2026 11:50–15:00  |  22-09-2026 15:00 → 23-09-2026 17:00</w:t>
      </w:r>
    </w:p>
    <w:p>
      <w:pPr>
        <w:spacing w:before="40" w:after="160"/>
        <w:pBdr>
          <w:bottom w:val="single" w:sz="12" w:space="1" w:color="1F4788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ultrasónico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Itron vs app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Config. final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2,9 %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21,74 / 22,39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Error 2,6 %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170,89 / 175,41 m³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4"/>
              </w:rPr>
              <w:t>Ø 127 mm · mortero 3 mm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M45 tope 1,5</w:t>
            </w:r>
          </w:p>
        </w:tc>
      </w:tr>
    </w:tbl>
    <w:p/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1. Objetivo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las acciones realizadas en terreno sobre el medidor ultrasónico de Matriz ESVAL ante un desvío respecto del medidor de turbina Itron de ESVAL, y presentar el cálculo de validación del periodo revisado.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2. Resumen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3. Actividades realizadas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3.1 Calidad de señal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En el menú de diagnóstico se evaluó la calidad de señal entre transductores (DN/UP) y la calidad de sonido (Q). Ambos valores iniciales superaban el umbral del fabricante (&gt; 60).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Inicial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Tras limpieza + silicona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Recomendación</w:t>
            </w:r>
          </w:p>
        </w:tc>
      </w:tr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DN / UP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76.7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80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  <w:tr>
        <w:trPr>
          <w:cantSplit/>
        </w:trPr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Q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93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96</w:t>
            </w:r>
          </w:p>
        </w:tc>
        <w:tc>
          <w:tcPr>
            <w:tcW w:type="dxa" w:w="252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&gt; 60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3.2 Comparación inicial por pulso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contrastó el volumen del ultrasónico WES contra el medidor de turbina Itron (referencia ESVAL) en la misma ventana de prueba.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Volumen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Itron / ESVAL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230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Ultrasónico WES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100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Misma ventana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Diferencia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130 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19"/>
              </w:rPr>
              <w:t>Desvío relevante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3.3 Continuidad de cables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la continuidad eléctrica de los cables de los transductores. Resultado: correcta. No explica el desvío de volumen.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3.4 Limpieza de tubería y silicona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Antes de renovar la silicona se limpió la superficie de la tubería en la zona de los transductores. Tras el cambio de silicona mejoraron DN/UP y Q, pero no se resolvió la discrepancia volumétrica.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DN / UP: 76.7 → 80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Q: 93 → 96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3.5 Configuración de cañería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 revisó el material en obra y se contrastó con la información de la sanitaria ESVAL.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Marcado físico: EN545 / DN100 / PN16 (Fierro dúctil (EN545)).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Diámetro según ESVAL: 118 mm (estaba en 110 mm).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color w:val="282828"/>
          <w:sz w:val="21"/>
        </w:rPr>
        <w:t>Lining: mortero inyectado — menú de cobertura con espesor 3 mm.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Tras aplicar 118 mm + mortero 3 mm, la diferencia bajó a aproximadamente 40 L.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3.6 Factor de escala M45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Con la prueba de 1 minuto (caudal turbina vs caudal ultrasónico menú 00) se calculó el nuevo factor de escala: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Nuevo M45 = 0,5934 × (460 / 87,05) = 3,1362.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valor calculado supera el máximo del equipo (1,5). Se seteó el tope. La diferencia bajó a ~30 L.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3.7 Ajuste final de diámetro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Según recomendación del manual, se aumentó el diámetro un 8 %: 118 → 127 mm. Tras ese ajuste ambos medidores quedaron en el mismo ciclo de lectura en terreno.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Antes / intermedio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Final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Material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validar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Fierro dúctil (EN545)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Diámetro (mm)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110 → 118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127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Cobertura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Sin mortero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Mortero 3 mm</w:t>
            </w:r>
          </w:p>
        </w:tc>
      </w:tr>
      <w:tr>
        <w:trPr>
          <w:cantSplit/>
        </w:trPr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Factor M45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0,5934 → calc. 3,1362</w:t>
            </w:r>
          </w:p>
        </w:tc>
        <w:tc>
          <w:tcPr>
            <w:tcW w:type="dxa" w:w="336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9"/>
              </w:rPr>
              <w:t>Tope 1,5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4. Cálculo de validación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4.1 Itron vs ultrasónico WES (22-09, 11:50 → 15:00)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Lecturas del medidor Itron y del ultrasónico WES en la misma ventana. En el ultrasónico el NET se convierte a m³ × 0,01.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Itron (ESVAL)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383.956,27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21,74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medidor ultrasónico WES (NET × 0,01)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11:50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18.119,06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18.141,45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22,39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Itron (lectura)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21,74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ultrasónico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22,39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2,9 %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= 1 − (21,74 / 22,39) = 2,9 %. Aceptable frente a tolerancias (ultrasónico ±1 %, Itron ±5 %).</w:t>
      </w:r>
    </w:p>
    <w:p>
      <w:pPr>
        <w:pStyle w:val="Heading2"/>
        <w:spacing w:before="200" w:after="120"/>
        <w:keepNext/>
      </w:pPr>
      <w:r>
        <w:rPr>
          <w:rFonts w:ascii="Calibri" w:hAnsi="Calibri"/>
          <w:color w:val="1F4788"/>
          <w:sz w:val="24"/>
        </w:rPr>
        <w:t>4.2 Itron vs app WES (22-09 15:00 → 23-09 17:00)</w:t>
      </w:r>
    </w:p>
    <w:p>
      <w:pPr>
        <w:spacing w:after="120" w:before="0" w:line="240" w:lineRule="auto"/>
        <w:jc w:val="both"/>
        <w:keepNext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Itron y el consumo de la app WES. App: horas 16→23 del 22-09 + horas 00→16 del 23-09.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27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500_horiz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val="clear" w:color="auto" w:fill="FAFBFC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27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ron_1700_2309_horiz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22-09-2026 15:00</w:t>
            </w:r>
          </w:p>
        </w:tc>
        <w:tc>
          <w:tcPr>
            <w:tcW w:type="dxa" w:w="5043"/>
            <w:shd w:val="clear" w:color="auto" w:fill="D6E3F0"/>
            <w:tcBorders>
              <w:top w:val="single" w:sz="6" w:space="0" w:color="CFD8DC"/>
              <w:left w:val="single" w:sz="6" w:space="0" w:color="CFD8DC"/>
              <w:bottom w:val="single" w:sz="6" w:space="0" w:color="CFD8DC"/>
              <w:right w:val="single" w:sz="6" w:space="0" w:color="CFD8D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Itron · 23-09-2026 17:00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F478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Matriz ESVAL — medidor Itron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ANÁLISIS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INICIAL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FECHA FINAL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LECTURA (m³)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CONSUMO m³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3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F4788"/>
                <w:sz w:val="16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15:00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383.978,01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384.148,90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82828"/>
                <w:sz w:val="18"/>
              </w:rPr>
              <w:t>170,89</w:t>
            </w:r>
          </w:p>
        </w:tc>
        <w:tc>
          <w:tcPr>
            <w:tcW w:type="dxa" w:w="1441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175,41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Itron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8FB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170,89 m³</w:t>
            </w:r>
          </w:p>
        </w:tc>
      </w:tr>
      <w:tr>
        <w:trPr>
          <w:cantSplit/>
        </w:trPr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1B5E20"/>
                <w:sz w:val="22"/>
              </w:rPr>
              <w:t>2,6 %</w:t>
            </w:r>
          </w:p>
        </w:tc>
      </w:tr>
    </w:tbl>
    <w:p/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Itron y app WES: 2,6 % (1 − 170,89/175,41).</w:t>
      </w:r>
    </w:p>
    <w:p>
      <w:pPr>
        <w:pStyle w:val="Heading1"/>
        <w:spacing w:before="280" w:after="120"/>
        <w:keepNext/>
      </w:pPr>
      <w:r>
        <w:rPr>
          <w:rFonts w:ascii="Calibri" w:hAnsi="Calibri"/>
          <w:color w:val="1F4788"/>
          <w:sz w:val="28"/>
        </w:rPr>
        <w:t>5. Conclusión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color w:val="282828"/>
          <w:sz w:val="22"/>
        </w:rPr>
        <w:t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</w:t>
      </w:r>
    </w:p>
    <w:p>
      <w:pPr>
        <w:spacing w:before="40" w:after="160"/>
        <w:pBdr>
          <w:bottom w:val="single" w:sz="12" w:space="1" w:color="1F4788"/>
        </w:pBdr>
      </w:pPr>
    </w:p>
    <w:p>
      <w:pPr>
        <w:spacing w:before="40"/>
      </w:pPr>
      <w:r>
        <w:rPr>
          <w:rFonts w:ascii="Calibri" w:hAnsi="Calibri" w:eastAsia="Calibri"/>
          <w:b w:val="0"/>
          <w:color w:val="646E78"/>
          <w:sz w:val="16"/>
        </w:rPr>
        <w:t>WES · Documento interno · Fundo Zapallar · 24-09-2026 00:01</w:t>
      </w:r>
    </w:p>
    <w:sectPr w:rsidR="00FC693F" w:rsidRPr="0006063C" w:rsidSect="00034616">
      <w:head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