
<file path=[Content_Types].xml><?xml version="1.0" encoding="utf-8"?>
<Types xmlns="http://schemas.openxmlformats.org/package/2006/content-types">
  <Default Extension="bmp" ContentType="image/bmp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Calibri" w:hAnsi="Calibri"/>
          <w:color w:val="1F4788"/>
          <w:sz w:val="36"/>
        </w:rPr>
        <w:t>Informe interno — Revisión y validación Matriz ESVAL</w:t>
      </w:r>
    </w:p>
    <w:p>
      <w:pPr>
        <w:spacing w:after="80"/>
      </w:pPr>
      <w:r>
        <w:rPr>
          <w:rFonts w:ascii="Calibri" w:hAnsi="Calibri" w:eastAsia="Calibri"/>
          <w:b w:val="0"/>
          <w:color w:val="646E78"/>
          <w:sz w:val="18"/>
        </w:rPr>
        <w:t>Fundo Zapallar  ·  Matriz ESVAL (000027-01)  ·  Uso interno WES</w:t>
        <w:br/>
        <w:t>Validaciones: 22-09-2026 11:50–15:00  |  22-09-2026 15:00 → 23-09-2026 17:00</w:t>
      </w:r>
    </w:p>
    <w:p>
      <w:pPr>
        <w:spacing w:before="40" w:after="160"/>
        <w:pBdr>
          <w:bottom w:val="single" w:sz="12" w:space="1" w:color="1F4788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Itron vs ultrasónico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Itron vs app WES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Config. final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24"/>
              </w:rPr>
              <w:t>Error 2,9 %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21,74 / 22,39 m³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24"/>
              </w:rPr>
              <w:t>Error 2,6 %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170,89 / 175,41 m³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24"/>
              </w:rPr>
              <w:t>Ø 127 mm · mortero 3 mm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M45 tope 1,5</w:t>
            </w:r>
          </w:p>
        </w:tc>
      </w:tr>
    </w:tbl>
    <w:p/>
    <w:p>
      <w:pPr>
        <w:pStyle w:val="Heading1"/>
        <w:spacing w:before="280" w:after="120"/>
        <w:keepNext/>
      </w:pPr>
      <w:r>
        <w:rPr>
          <w:rFonts w:ascii="Calibri" w:hAnsi="Calibri"/>
          <w:color w:val="1F4788"/>
          <w:sz w:val="28"/>
        </w:rPr>
        <w:t>1. Objetivo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Documentar las acciones realizadas en terreno sobre el medidor ultrasónico de Matriz ESVAL ante un desvío respecto del medidor de turbina Itron de ESVAL, y presentar el cálculo de validación del periodo revisado.</w:t>
      </w:r>
    </w:p>
    <w:p>
      <w:pPr>
        <w:pStyle w:val="Heading1"/>
        <w:spacing w:before="280" w:after="120"/>
        <w:keepNext/>
      </w:pPr>
      <w:r>
        <w:rPr>
          <w:rFonts w:ascii="Calibri" w:hAnsi="Calibri"/>
          <w:color w:val="1F4788"/>
          <w:sz w:val="28"/>
        </w:rPr>
        <w:t>2. Resumen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La calidad de señal (DN/UP y Q) estaba dentro del umbral del fabricante. La primera comparación volumétrica mostró un desvío importante (230 L Itron vs 100 L ultrasónico). Se verificaron cables, se limpió la tubería y se renovó la silicona; luego se corrigió la configuración de cañería y el factor de escala. Las validaciones posteriores arrojan errores de 2,9 % (Itron vs ultrasónico) y 2,6 % (Itron vs app), aceptables según tolerancias de fabricante.</w:t>
      </w:r>
    </w:p>
    <w:p>
      <w:pPr>
        <w:pStyle w:val="Heading1"/>
        <w:spacing w:before="280" w:after="120"/>
        <w:keepNext/>
      </w:pPr>
      <w:r>
        <w:rPr>
          <w:rFonts w:ascii="Calibri" w:hAnsi="Calibri"/>
          <w:color w:val="1F4788"/>
          <w:sz w:val="28"/>
        </w:rPr>
        <w:t>3. Actividades realizadas</w:t>
      </w: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3.1 Calidad de señal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En el menú de diagnóstico se evaluó la calidad de señal entre transductores (DN/UP) y la calidad de sonido (Q). Ambos valores iniciales superaban el umbral del fabricante (&gt; 60).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cantSplit/>
        </w:trPr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Inicial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Tras limpieza + silicona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Recomendación</w:t>
            </w:r>
          </w:p>
        </w:tc>
      </w:tr>
      <w:tr>
        <w:trPr>
          <w:cantSplit/>
        </w:trPr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DN / UP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76.7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80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&gt; 60</w:t>
            </w:r>
          </w:p>
        </w:tc>
      </w:tr>
      <w:tr>
        <w:trPr>
          <w:cantSplit/>
        </w:trPr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Q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93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96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&gt; 60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3.2 Comparación inicial por pulso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Se contrastó el volumen del ultrasónico WES contra el medidor de turbina Itron (referencia ESVAL) en la misma ventana de prueba.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Equipo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Volumen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Observación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Itron / ESVAL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230 L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Referencia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Ultrasónico WES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100 L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Misma ventana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B5E20"/>
                <w:sz w:val="19"/>
              </w:rPr>
              <w:t>Diferencia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19"/>
              </w:rPr>
              <w:t>130 L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19"/>
              </w:rPr>
              <w:t>Desvío relevante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3.3 Continuidad de cables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Se verificó la continuidad eléctrica de los cables de los transductores. Resultado: correcta. No explica el desvío de volumen.</w:t>
      </w: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3.4 Limpieza de tubería y silicona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Antes de renovar la silicona se limpió la superficie de la tubería en la zona de los transductores. Tras el cambio de silicona mejoraron DN/UP y Q, pero no se resolvió la discrepancia volumétrica.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color w:val="282828"/>
          <w:sz w:val="21"/>
        </w:rPr>
        <w:t>DN / UP: 76.7 → 80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color w:val="282828"/>
          <w:sz w:val="21"/>
        </w:rPr>
        <w:t>Q: 93 → 96</w:t>
      </w: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3.5 Configuración de cañería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Se revisó el material en obra y se contrastó con la información de la sanitaria ESVAL.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color w:val="282828"/>
          <w:sz w:val="21"/>
        </w:rPr>
        <w:t>Marcado físico: EN545 / DN100 / PN16 (Fierro dúctil (EN545)).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color w:val="282828"/>
          <w:sz w:val="21"/>
        </w:rPr>
        <w:t>Diámetro según ESVAL: 118 mm (estaba en 110 mm).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color w:val="282828"/>
          <w:sz w:val="21"/>
        </w:rPr>
        <w:t>Lining: mortero inyectado — menú de cobertura con espesor 3 mm.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Tras aplicar 118 mm + mortero 3 mm, la diferencia bajó a aproximadamente 40 L.</w:t>
      </w: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3.6 Factor de escala M45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Con la prueba de 1 minuto (caudal turbina vs caudal ultrasónico menú 00) se calculó el nuevo factor de escala: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Nuevo M45 = 0,5934 × (460 / 87,05) = 3,1362.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El valor calculado supera el máximo del equipo (1,5). Se seteó el tope. La diferencia bajó a ~30 L.</w:t>
      </w: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3.7 Ajuste final de diámetro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Según recomendación del manual, se aumentó el diámetro un 8 %: 118 → 127 mm. Tras ese ajuste ambos medidores quedaron en el mismo ciclo de lectura en terreno.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Antes / intermedio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Final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Material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Sin validar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Fierro dúctil (EN545)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Diámetro (mm)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110 → 118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127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Cobertura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Sin mortero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Mortero 3 mm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Factor M45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0,5934 → calc. 3,1362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Tope 1,5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  <w:keepNext/>
      </w:pPr>
      <w:r>
        <w:rPr>
          <w:rFonts w:ascii="Calibri" w:hAnsi="Calibri"/>
          <w:color w:val="1F4788"/>
          <w:sz w:val="28"/>
        </w:rPr>
        <w:t>4. Cálculo de validación</w:t>
      </w: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4.1 Itron vs ultrasónico WES (22-09, 11:50 → 15:00)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Lecturas del medidor Itron y del ultrasónico WES en la misma ventana. En el ultrasónico el NET se convierte a m³ × 0,01.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cantSplit/>
        </w:trPr>
        <w:tc>
          <w:tcPr>
            <w:tcW w:type="dxa" w:w="10087"/>
            <w:gridSpan w:val="7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 medidor Itron (ESVAL)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ANÁLISIS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INICIAL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FINAL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CONSUMO m³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HORAS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Matriz ESVAL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11:50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383.956,27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15:00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383.978,01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282828"/>
                <w:sz w:val="18"/>
              </w:rPr>
              <w:t>21,74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3,2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cantSplit/>
        </w:trPr>
        <w:tc>
          <w:tcPr>
            <w:tcW w:type="dxa" w:w="10087"/>
            <w:gridSpan w:val="7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 medidor ultrasónico WES (NET × 0,01)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ANÁLISIS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INICIAL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FINAL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CONSUMO m³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HORAS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Matriz ESVAL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11:50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18.119,06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15:00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18.141,45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282828"/>
                <w:sz w:val="18"/>
              </w:rPr>
              <w:t>22,39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3,2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Itron (lectura)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21,74 m³</w:t>
            </w:r>
          </w:p>
        </w:tc>
      </w:tr>
      <w:tr>
        <w:trPr>
          <w:cantSplit/>
        </w:trP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ultrasónico WES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22,39 m³</w:t>
            </w:r>
          </w:p>
        </w:tc>
      </w:tr>
      <w:tr>
        <w:trPr>
          <w:cantSplit/>
        </w:trP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B5E20"/>
                <w:sz w:val="20"/>
              </w:rPr>
              <w:t>% Error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22"/>
              </w:rPr>
              <w:t>2,9 %</w:t>
            </w:r>
          </w:p>
        </w:tc>
      </w:tr>
    </w:tbl>
    <w:p/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Error = 1 − (21,74 / 22,39) = 2,9 %. Aceptable frente a tolerancias (ultrasónico ±1 %, Itron ±5 %).</w:t>
      </w: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4.2 Itron vs app WES (22-09 15:00 → 23-09 17:00)</w:t>
      </w:r>
    </w:p>
    <w:p>
      <w:pPr>
        <w:spacing w:after="120" w:before="0" w:line="240" w:lineRule="auto"/>
        <w:jc w:val="both"/>
        <w:keepNext/>
      </w:pPr>
      <w:r>
        <w:rPr>
          <w:rFonts w:ascii="Calibri" w:hAnsi="Calibri" w:eastAsia="Calibri"/>
          <w:b w:val="0"/>
          <w:color w:val="282828"/>
          <w:sz w:val="22"/>
        </w:rPr>
        <w:t>Validación con lecturas fotográficas del medidor Itron y el consumo de la app WES. App: horas 16→23 del 22-09 + horas 00→16 del 23-09.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5043"/>
            <w:shd w:val="clear" w:color="auto" w:fill="FAFBFC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27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ron_1500_horiz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27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3"/>
            <w:shd w:val="clear" w:color="auto" w:fill="FAFBFC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278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ron_1700_2309_horiz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27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043"/>
            <w:shd w:val="clear" w:color="auto" w:fill="D6E3F0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Itron · 22-09-2026 15:00</w:t>
            </w:r>
          </w:p>
        </w:tc>
        <w:tc>
          <w:tcPr>
            <w:tcW w:type="dxa" w:w="5043"/>
            <w:shd w:val="clear" w:color="auto" w:fill="D6E3F0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Itron · 23-09-2026 17:00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cantSplit/>
        </w:trPr>
        <w:tc>
          <w:tcPr>
            <w:tcW w:type="dxa" w:w="10087"/>
            <w:gridSpan w:val="7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 Matriz ESVAL — medidor Itron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ANÁLISIS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INICIAL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FINAL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CONSUMO m³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HORAS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Matriz ESVAL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15:00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383.978,01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23-09-2026 17:00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384.148,90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282828"/>
                <w:sz w:val="18"/>
              </w:rPr>
              <w:t>170,89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App WES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175,41 m³</w:t>
            </w:r>
          </w:p>
        </w:tc>
      </w:tr>
      <w:tr>
        <w:trPr>
          <w:cantSplit/>
        </w:trP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Lectura Itron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170,89 m³</w:t>
            </w:r>
          </w:p>
        </w:tc>
      </w:tr>
      <w:tr>
        <w:trPr>
          <w:cantSplit/>
        </w:trP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B5E20"/>
                <w:sz w:val="20"/>
              </w:rPr>
              <w:t>% Error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22"/>
              </w:rPr>
              <w:t>2,6 %</w:t>
            </w:r>
          </w:p>
        </w:tc>
      </w:tr>
    </w:tbl>
    <w:p/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Error entre lectura Itron y app WES: 2,6 % (1 − 170,89/175,41).</w:t>
      </w:r>
    </w:p>
    <w:p>
      <w:pPr>
        <w:pStyle w:val="Heading1"/>
        <w:spacing w:before="280" w:after="120"/>
        <w:keepNext/>
      </w:pPr>
      <w:r>
        <w:rPr>
          <w:rFonts w:ascii="Calibri" w:hAnsi="Calibri"/>
          <w:color w:val="1F4788"/>
          <w:sz w:val="28"/>
        </w:rPr>
        <w:t>5. Conclusión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El desvío inicial no se debió a calidad de señal ni a cableado. La limpieza y la silicona mejoraron los indicadores de señal, pero no el volumen. La corrección de diámetro, mortero y factor de escala (tope 1,5), más el ajuste final a 127 mm, alineó ambos medidores en terreno. Validación Itron vs ultrasónico: 2,9 %. Validación Itron vs app: 2,6 %. Ambos resultados son aceptables según las tolerancias de fabricante.</w:t>
      </w:r>
    </w:p>
    <w:p>
      <w:pPr>
        <w:spacing w:before="40" w:after="160"/>
        <w:pBdr>
          <w:bottom w:val="single" w:sz="12" w:space="1" w:color="1F4788"/>
        </w:pBdr>
      </w:pPr>
    </w:p>
    <w:p>
      <w:pPr>
        <w:spacing w:before="40"/>
      </w:pPr>
      <w:r>
        <w:rPr>
          <w:rFonts w:ascii="Calibri" w:hAnsi="Calibri" w:eastAsia="Calibri"/>
          <w:b w:val="0"/>
          <w:color w:val="646E78"/>
          <w:sz w:val="16"/>
        </w:rPr>
        <w:t>WES · Documento interno · Fundo Zapallar · 24-09-2026 00:02</w:t>
      </w:r>
    </w:p>
    <w:sectPr w:rsidR="00FC693F" w:rsidRPr="0006063C" w:rsidSect="00034616">
      <w:headerReference w:type="default" r:id="rId9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