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Calibri" w:hAnsi="Calibri"/>
          <w:color w:val="1F4788"/>
          <w:sz w:val="36"/>
        </w:rPr>
        <w:t>Informe de validación — Matriz ESVAL · Fundo Zapallar</w:t>
      </w:r>
    </w:p>
    <w:p>
      <w:pPr>
        <w:spacing w:after="80"/>
      </w:pPr>
      <w:r>
        <w:rPr>
          <w:rFonts w:ascii="Calibri" w:hAnsi="Calibri" w:eastAsia="Calibri"/>
          <w:b w:val="0"/>
          <w:color w:val="646E78"/>
          <w:sz w:val="18"/>
        </w:rPr>
        <w:t>Fundo Zapallar  ·  Matriz ESVAL (000027-01)  ·  Informe final</w:t>
        <w:br/>
        <w:t>Validaciones: 22-09-2026 11:50–15:00  |  22-09-2026 15:00 → 23-09-2026 17:00</w:t>
      </w:r>
    </w:p>
    <w:p>
      <w:pPr>
        <w:spacing w:before="40" w:after="160"/>
        <w:pBdr>
          <w:bottom w:val="single" w:sz="12" w:space="1" w:color="1F4788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ultrasónico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app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Config. final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2,9 %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21,74 / 22,39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2,6 %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170,89 / 175,41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Ø 127 mm · mortero 3 mm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M45 tope 1,5</w:t>
            </w:r>
          </w:p>
        </w:tc>
      </w:tr>
    </w:tbl>
    <w:p/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1. Objetivo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las acciones realizadas en terreno sobre el medidor ultrasónico de Matriz ESVAL ante un desvío respecto del medidor de turbina Itron de ESVAL, y presentar el cálculo de validación del periodo revisado.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2. Resumen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3. Actividades realizadas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3.1 Calidad de señal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En el menú de diagnóstico se evaluó la calidad de señal entre transductores (DN/UP) y la calidad de sonido (Q). Ambos valores iniciales superaban el umbral del fabricante (&gt; 60).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Tras limpieza + silicona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Recomendación</w:t>
            </w:r>
          </w:p>
        </w:tc>
      </w:tr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DN / UP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76.7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80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Q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93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96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3.2 Comparación inicial por pulso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contrastó el volumen del ultrasónico WES contra el medidor de turbina Itron (referencia ESVAL) en la misma ventana de prueba.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Volumen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Itron / ESVAL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230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Ultrasónico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100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Misma ventana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Diferencia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130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Desvío relevante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3.3 Continuidad de cables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la continuidad eléctrica de los cables de los transductores. Resultado: correcta. No explica el desvío de volumen.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3.4 Limpieza de tubería y silicona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Antes de renovar la silicona se limpió la superficie de la tubería en la zona de los transductores. Tras el cambio de silicona mejoraron DN/UP y Q, pero no se resolvió la discrepancia volumétrica.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DN / UP: 76.7 → 80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Q: 93 → 96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3.5 Configuración de cañería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revisó el material en obra y se contrastó con la información de la sanitaria ESVAL.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Marcado físico: EN545 / DN100 / PN16 (Fierro dúctil (EN545)).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Diámetro según ESVAL: 118 mm (estaba en 110 mm).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Lining: mortero inyectado — menú de cobertura con espesor 3 mm.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Tras aplicar 118 mm + mortero 3 mm, la diferencia bajó a aproximadamente 40 L.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3.6 Factor de escala M45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Con la prueba de 1 minuto (caudal turbina vs caudal ultrasónico menú 00) se calculó el nuevo factor de escala: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Nuevo M45 = 0,5934 × (460 / 87,05) = 3,1362.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valor calculado supera el máximo del equipo (1,5). Se seteó el tope. La diferencia bajó a ~30 L.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3.7 Ajuste final de diámetro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Según recomendación del manual, se aumentó el diámetro un 8 %: 118 → 127 mm. Tras ese ajuste ambos medidores quedaron en el mismo ciclo de lectura en terreno.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Antes / intermedio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Final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Material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validar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Fierro dúctil (EN545)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Diámetro (mm)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110 → 118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127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Cobertura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mortero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Mortero 3 mm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Factor M45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0,5934 → calc. 3,1362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Tope 1,5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4. Cálculo de validación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4.1 Itron vs ultrasónico WES (22-09, 11:50 → 15:00)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Lecturas del medidor Itron y del ultrasónico WES en la misma ventana. En el ultrasónico el NET se convierte a m³ × 0,01.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Itron (ESVAL)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383.956,27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21,74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ultrasónico WES (NET × 0,01)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18.119,06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18.141,45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22,39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Itron (lectura)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21,74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ultrasónico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22,39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2,9 %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= 1 − (21,74 / 22,39) = 2,9 %. Aceptable frente a tolerancias (ultrasónico ±1 %, Itron ±5 %).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4.2 Itron vs app WES (22-09 15:00 → 23-09 17:00)</w:t>
      </w:r>
    </w:p>
    <w:p>
      <w:pPr>
        <w:spacing w:after="120" w:before="0" w:line="240" w:lineRule="auto"/>
        <w:jc w:val="both"/>
        <w:keepNext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Itron y el consumo de la app WES. App: horas 16→23 del 22-09 + horas 00→16 del 23-09.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7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500_horiz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7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700_2309_horiz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22-09-2026 15:00</w:t>
            </w:r>
          </w:p>
        </w:tc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23-09-2026 17:00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Matriz ESVAL — medidor Itron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384.148,90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170,89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175,41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Itron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170,89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2,6 %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Itron y app WES: 2,6 % (1 − 170,89/175,41).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5. Conclusión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</w:p>
    <w:p>
      <w:pPr>
        <w:spacing w:before="40" w:after="160"/>
        <w:pBdr>
          <w:bottom w:val="single" w:sz="12" w:space="1" w:color="1F4788"/>
        </w:pBdr>
      </w:pPr>
    </w:p>
    <w:p>
      <w:pPr>
        <w:spacing w:before="40"/>
      </w:pPr>
      <w:r>
        <w:rPr>
          <w:rFonts w:ascii="Calibri" w:hAnsi="Calibri" w:eastAsia="Calibri"/>
          <w:b w:val="0"/>
          <w:color w:val="646E78"/>
          <w:sz w:val="16"/>
        </w:rPr>
        <w:t>WES · Documento interno · Fundo Zapallar · 24-09-2026 00:23</w:t>
      </w:r>
    </w:p>
    <w:sectPr w:rsidR="00FC693F" w:rsidRPr="0006063C" w:rsidSect="00034616">
      <w:head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