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interno — Cambio de memoria y validación Etapa N°5</w:t>
      </w:r>
    </w:p>
    <w:p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  <w:t>Punto: Etapa N°5 (000027-03)</w:t>
        <w:br/>
        <w:t>Validación: 22-09-2026 14:00 → 23-09-2026 17:00</w:t>
        <w:br/>
        <w:t>Clasificación: Uso interno WES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000000"/>
          <w:sz w:val="22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000000"/>
          <w:sz w:val="22"/>
        </w:rPr>
        <w:t>Lectura inicial: 5.144 m³ (22-09-2026).</w:t>
      </w:r>
    </w:p>
    <w:p>
      <w:r>
        <w:rPr>
          <w:rFonts w:ascii="Calibri" w:hAnsi="Calibri" w:eastAsia="Calibri"/>
          <w:b w:val="0"/>
          <w:color w:val="000000"/>
          <w:sz w:val="22"/>
        </w:rPr>
        <w:t>Lectura final: 5.177 m³ (23-09-2026).</w:t>
      </w:r>
    </w:p>
    <w:p>
      <w:r>
        <w:rPr>
          <w:rFonts w:ascii="Calibri" w:hAnsi="Calibri" w:eastAsia="Calibri"/>
          <w:b w:val="0"/>
          <w:color w:val="000000"/>
          <w:sz w:val="22"/>
        </w:rPr>
        <w:t>Δ mecánico: 33 m³.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4. Criterio hidráulico (DN90)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color w:val="1F4788"/>
                <w:sz w:val="20"/>
              </w:rPr>
              <w:t>Velocidad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color w:val="1F4788"/>
                <w:sz w:val="20"/>
              </w:rPr>
              <w:t>Caudal teórico DN90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</w:rPr>
        <w:t>5.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</w:rPr>
        <w:t>5.1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Validación con lecturas fotográficas del medidor Sensus y el consumo registrado en la app WES. Ventana: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1803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1803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16705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1670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595959"/>
                <w:sz w:val="18"/>
              </w:rPr>
              <w:t>Sensus — 22-09-2026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595959"/>
                <w:sz w:val="18"/>
              </w:rPr>
              <w:t>Sensus — 23-09-2026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Etapa N°5 — medidor Sensus (lectura mecánica)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Etapa N°5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22-09-2026 14:00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5.144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23-09-2026 17:00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5.177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33,00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31,10 m³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5,8 % (1 − 31,10/33,00). Aceptable (diferencia moderada).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6. Conclusión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595959"/>
          <w:sz w:val="20"/>
        </w:rPr>
        <w:t>Documento interno WES · Fundo Zapallar · generado 23-09-2026 21:35.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