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color w:val="1F4788"/>
          <w:sz w:val="36"/>
        </w:rPr>
        <w:t>Informe de validación — Etapa N°5 · Fundo Zapallar</w:t>
      </w:r>
    </w:p>
    <w:p>
      <w:r>
        <w:rPr>
          <w:rFonts w:ascii="Calibri" w:hAnsi="Calibri" w:eastAsia="Calibri"/>
          <w:b w:val="0"/>
          <w:color w:val="646E78"/>
          <w:sz w:val="18"/>
        </w:rPr>
        <w:t>Fundo Zapallar  ·  Etapa N°5 (000027-03)  ·  Informe final</w:t>
        <w:br/>
        <w:t>Validaciones: 22-09-2026 14:00 → 23-09-2026 17:00  ·  Intervención placa 22-09-2026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F4788"/>
          <w:left w:val="single" w:sz="4" w:space="0" w:color="1F4788"/>
          <w:bottom w:val="single" w:sz="4" w:space="0" w:color="1F4788"/>
          <w:right w:val="single" w:sz="4" w:space="0" w:color="1F4788"/>
          <w:insideH w:val="single" w:sz="4" w:space="0" w:color="1F4788"/>
          <w:insideV w:val="single" w:sz="4" w:space="0" w:color="1F4788"/>
        </w:tblBorders>
      </w:tblPr>
      <w:tblGrid>
        <w:gridCol w:w="3362"/>
        <w:gridCol w:w="3362"/>
        <w:gridCol w:w="3362"/>
      </w:tblGrid>
      <w:tr>
        <w:trPr>
          <w:cantSplit/>
        </w:trPr>
        <w:tc>
          <w:tcPr>
            <w:tcW w:type="dxa" w:w="3362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Sensus vs app WES</w:t>
            </w:r>
          </w:p>
        </w:tc>
        <w:tc>
          <w:tcPr>
            <w:tcW w:type="dxa" w:w="3362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Lecturas Sensus</w:t>
            </w:r>
          </w:p>
        </w:tc>
        <w:tc>
          <w:tcPr>
            <w:tcW w:type="dxa" w:w="3362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Red / medidor</w:t>
            </w:r>
          </w:p>
        </w:tc>
      </w:tr>
      <w:tr>
        <w:trPr>
          <w:cantSplit/>
        </w:trPr>
        <w:tc>
          <w:tcPr>
            <w:tcW w:type="dxa" w:w="3362"/>
            <w:shd w:fill="E8F5E9" w:val="clear"/>
          </w:tcPr>
          <w:p>
            <w:r>
              <w:rPr>
                <w:rFonts w:ascii="Calibri" w:hAnsi="Calibri" w:eastAsia="Calibri"/>
                <w:b/>
                <w:color w:val="1B5E20"/>
                <w:sz w:val="24"/>
              </w:rPr>
              <w:t>Error 5,8 %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33,00 / 31,10 m³</w:t>
            </w:r>
          </w:p>
        </w:tc>
        <w:tc>
          <w:tcPr>
            <w:tcW w:type="dxa" w:w="3362"/>
            <w:shd w:fill="E8F5E9" w:val="clear"/>
          </w:tcPr>
          <w:p>
            <w:r>
              <w:rPr>
                <w:rFonts w:ascii="Calibri" w:hAnsi="Calibri" w:eastAsia="Calibri"/>
                <w:b/>
                <w:color w:val="1B5E20"/>
                <w:sz w:val="24"/>
              </w:rPr>
              <w:t>5.144 → 5.177 m³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Δ 33 m³</w:t>
            </w:r>
          </w:p>
        </w:tc>
        <w:tc>
          <w:tcPr>
            <w:tcW w:type="dxa" w:w="3362"/>
            <w:shd w:fill="E8F5E9" w:val="clear"/>
          </w:tcPr>
          <w:p>
            <w:r>
              <w:rPr>
                <w:rFonts w:ascii="Calibri" w:hAnsi="Calibri" w:eastAsia="Calibri"/>
                <w:b/>
                <w:color w:val="1B5E20"/>
                <w:sz w:val="24"/>
              </w:rPr>
              <w:t>DN90 · techo ≈ 60 m³/h</w:t>
              <w:br/>
            </w:r>
            <w:r>
              <w:rPr>
                <w:rFonts w:ascii="Calibri" w:hAnsi="Calibri" w:eastAsia="Calibri"/>
                <w:b w:val="0"/>
                <w:color w:val="646E78"/>
                <w:sz w:val="16"/>
              </w:rPr>
              <w:t>Q3 medidor 100 m³/h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F4788"/>
          <w:sz w:val="28"/>
        </w:rPr>
        <w:t>1. Objetivo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Documentar la intervención en terreno sobre la placa de Etapa N°5 ante caudales anómalos incompatibles con la red DN90, y presentar el cálculo de validación entre lecturas mecánicas del medidor Sensus y el consumo de la app WES.</w:t>
      </w:r>
    </w:p>
    <w:p>
      <w:pPr>
        <w:pStyle w:val="Heading1"/>
      </w:pPr>
      <w:r>
        <w:rPr>
          <w:rFonts w:ascii="Calibri" w:hAnsi="Calibri" w:eastAsia="Calibri"/>
          <w:color w:val="1F4788"/>
          <w:sz w:val="28"/>
        </w:rPr>
        <w:t>2. Resumen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Se detectaron pulsos del orden de 92 y 200 m³/h. El sensor inductivo, los pulsos de revisión y los voltajes estaban correctos; el error provenía de la memoria de la placa. Se reemplazó la memoria y se normalizó el punto. La validación posterior entre lectura Sensus y app WES arroja un error de 5,8 % (aceptable (diferencia moderada)).</w:t>
      </w:r>
    </w:p>
    <w:p>
      <w:pPr>
        <w:pStyle w:val="Heading1"/>
      </w:pPr>
      <w:r>
        <w:rPr>
          <w:rFonts w:ascii="Calibri" w:hAnsi="Calibri" w:eastAsia="Calibri"/>
          <w:color w:val="1F4788"/>
          <w:sz w:val="28"/>
        </w:rPr>
        <w:t>3. Actividades realizadas</w:t>
      </w:r>
    </w:p>
    <w:p>
      <w:pPr>
        <w:pStyle w:val="Heading2"/>
      </w:pPr>
      <w:r>
        <w:rPr>
          <w:rFonts w:ascii="Calibri" w:hAnsi="Calibri" w:eastAsia="Calibri"/>
          <w:color w:val="1F4788"/>
          <w:sz w:val="24"/>
        </w:rPr>
        <w:t>3.1 Revisión en terreno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Se verificó sensor Census / inductivo (OK), pulsos de revisión (OK) y voltajes de alimentación (correctos). El diagnóstico apuntó a falla de memoria de la placa.</w:t>
      </w:r>
    </w:p>
    <w:p>
      <w:r>
        <w:rPr>
          <w:rFonts w:ascii="Calibri" w:hAnsi="Calibri" w:eastAsia="Calibri"/>
          <w:b w:val="0"/>
          <w:color w:val="282828"/>
          <w:sz w:val="21"/>
        </w:rPr>
        <w:t>Acción: cambio de memoria de la placa; punto reparado/normalizado.</w:t>
      </w:r>
    </w:p>
    <w:p>
      <w:pPr>
        <w:pStyle w:val="Heading2"/>
      </w:pPr>
      <w:r>
        <w:rPr>
          <w:rFonts w:ascii="Calibri" w:hAnsi="Calibri" w:eastAsia="Calibri"/>
          <w:color w:val="1F4788"/>
          <w:sz w:val="24"/>
        </w:rPr>
        <w:t>3.2 Medidor instalado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Medidor Sensus MeiStream Plus 100, serie 8 SEN01 2370 9030 (2023), Q3 = 100 m³/h. Módulo HRI-Mei B4 500 ms (serie 31730485), peso de pulso DN 40–125 = 100 L/pulso.</w:t>
      </w:r>
    </w:p>
    <w:p>
      <w:r>
        <w:rPr>
          <w:rFonts w:ascii="Calibri" w:hAnsi="Calibri" w:eastAsia="Calibri"/>
          <w:b w:val="0"/>
          <w:color w:val="282828"/>
          <w:sz w:val="21"/>
        </w:rPr>
        <w:t>Lectura inicial: 5.144 m³ (22-09-2026).</w:t>
      </w:r>
    </w:p>
    <w:p>
      <w:r>
        <w:rPr>
          <w:rFonts w:ascii="Calibri" w:hAnsi="Calibri" w:eastAsia="Calibri"/>
          <w:b w:val="0"/>
          <w:color w:val="282828"/>
          <w:sz w:val="21"/>
        </w:rPr>
        <w:t>Lectura final: 5.177 m³ (23-09-2026).</w:t>
      </w:r>
    </w:p>
    <w:p>
      <w:r>
        <w:rPr>
          <w:rFonts w:ascii="Calibri" w:hAnsi="Calibri" w:eastAsia="Calibri"/>
          <w:b w:val="0"/>
          <w:color w:val="282828"/>
          <w:sz w:val="21"/>
        </w:rPr>
        <w:t>Δ mecánico: 33 m³.</w:t>
      </w:r>
    </w:p>
    <w:p>
      <w:pPr>
        <w:pStyle w:val="Heading2"/>
      </w:pPr>
      <w:r>
        <w:rPr>
          <w:rFonts w:ascii="Calibri" w:hAnsi="Calibri" w:eastAsia="Calibri"/>
          <w:color w:val="1F4788"/>
          <w:sz w:val="24"/>
        </w:rPr>
        <w:t>3.3 Criterio hidráulico (DN90)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La red es DN90 fierro dúctil. Techo práctico de red ≈ 60 m³/h (~2,5 m/s). El medidor admite Q3 = 100 m³/h, pero la red no puede entregar de forma realista 92–200 m³/h (error de memoria).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5043"/>
        <w:gridCol w:w="5043"/>
      </w:tblGrid>
      <w:tr>
        <w:trPr>
          <w:cantSplit/>
        </w:trPr>
        <w:tc>
          <w:tcPr>
            <w:tcW w:type="dxa" w:w="5043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Velocidad de referencia</w:t>
            </w:r>
          </w:p>
        </w:tc>
        <w:tc>
          <w:tcPr>
            <w:tcW w:type="dxa" w:w="5043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Caudal teórico DN90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1,5 m/s</w:t>
            </w:r>
          </w:p>
        </w:tc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≈ 34 m³/h</w:t>
            </w:r>
          </w:p>
        </w:tc>
      </w:tr>
      <w:tr>
        <w:trPr>
          <w:cantSplit/>
        </w:trPr>
        <w:tc>
          <w:tcPr>
            <w:tcW w:type="dxa" w:w="5043"/>
            <w:shd w:fill="F5F8FB" w:val="clear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2,0 m/s</w:t>
            </w:r>
          </w:p>
        </w:tc>
        <w:tc>
          <w:tcPr>
            <w:tcW w:type="dxa" w:w="5043"/>
            <w:shd w:fill="F5F8FB" w:val="clear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≈ 46 m³/h</w:t>
            </w:r>
          </w:p>
        </w:tc>
      </w:tr>
      <w:tr>
        <w:trPr>
          <w:cantSplit/>
        </w:trPr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2,5 m/s (techo práctico)</w:t>
            </w:r>
          </w:p>
        </w:tc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≈ 57–60 m³/h</w:t>
            </w:r>
          </w:p>
        </w:tc>
      </w:tr>
    </w:tbl>
    <w:p>
      <w:pPr>
        <w:pStyle w:val="Heading1"/>
      </w:pPr>
      <w:r>
        <w:rPr>
          <w:rFonts w:ascii="Calibri" w:hAnsi="Calibri" w:eastAsia="Calibri"/>
          <w:color w:val="1F4788"/>
          <w:sz w:val="28"/>
        </w:rPr>
        <w:t>4. Cálculo de validación</w:t>
      </w:r>
    </w:p>
    <w:p>
      <w:pPr>
        <w:pStyle w:val="Heading2"/>
      </w:pPr>
      <w:r>
        <w:rPr>
          <w:rFonts w:ascii="Calibri" w:hAnsi="Calibri" w:eastAsia="Calibri"/>
          <w:color w:val="1F4788"/>
          <w:sz w:val="24"/>
        </w:rPr>
        <w:t>4.1 Sensus vs app WES (22-09 14:00 → 23-09 17:00)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Validación con lecturas fotográficas del medidor Sensus y el consumo de la app WES. App: hora 14 completa del 22-09-2026 hasta las 17:00 del 23-09-2026.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5043"/>
        <w:gridCol w:w="5043"/>
      </w:tblGrid>
      <w:tr>
        <w:trPr>
          <w:cantSplit/>
        </w:trPr>
        <w:tc>
          <w:tcPr>
            <w:tcW w:type="dxa" w:w="5043"/>
            <w:shd w:fill="FAFBFC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4831" cy="244316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tura_20260922_1430_sensus_5144_reloj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1" cy="24431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3"/>
            <w:shd w:fill="FAFBFC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4831" cy="244316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tura_20260923_1654_sensus_5177_reloj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1" cy="24431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5043"/>
            <w:shd w:fill="D6E3F0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Sensus · 22-09-2026 14:30</w:t>
            </w:r>
          </w:p>
        </w:tc>
        <w:tc>
          <w:tcPr>
            <w:tcW w:type="dxa" w:w="5043"/>
            <w:shd w:fill="D6E3F0" w:val="clea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788"/>
                <w:sz w:val="16"/>
              </w:rPr>
              <w:t>Sensus · 23-09-2026 16:54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rPr>
          <w:cantSplit/>
        </w:trPr>
        <w:tc>
          <w:tcPr>
            <w:tcW w:type="dxa" w:w="10087"/>
            <w:gridSpan w:val="7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Validación Etapa N°5 — medidor Sensus (lectura mecánica)</w:t>
            </w:r>
          </w:p>
        </w:tc>
      </w:tr>
      <w:tr>
        <w:trPr>
          <w:cantSplit/>
        </w:trPr>
        <w:tc>
          <w:tcPr>
            <w:tcW w:type="dxa" w:w="1441"/>
            <w:shd w:fill="D6E3F0" w:val="clear"/>
          </w:tcPr>
          <w:p>
            <w:r>
              <w:rPr>
                <w:rFonts w:ascii="Calibri" w:hAnsi="Calibri" w:eastAsia="Calibri"/>
                <w:b/>
                <w:color w:val="1F4788"/>
                <w:sz w:val="18"/>
              </w:rPr>
              <w:t>ANÁLISIS</w:t>
            </w:r>
          </w:p>
        </w:tc>
        <w:tc>
          <w:tcPr>
            <w:tcW w:type="dxa" w:w="1441"/>
            <w:shd w:fill="D6E3F0" w:val="clear"/>
          </w:tcPr>
          <w:p>
            <w:r>
              <w:rPr>
                <w:rFonts w:ascii="Calibri" w:hAnsi="Calibri" w:eastAsia="Calibri"/>
                <w:b/>
                <w:color w:val="1F4788"/>
                <w:sz w:val="18"/>
              </w:rPr>
              <w:t>FECHA INICIAL</w:t>
            </w:r>
          </w:p>
        </w:tc>
        <w:tc>
          <w:tcPr>
            <w:tcW w:type="dxa" w:w="1441"/>
            <w:shd w:fill="D6E3F0" w:val="clear"/>
          </w:tcPr>
          <w:p>
            <w:r>
              <w:rPr>
                <w:rFonts w:ascii="Calibri" w:hAnsi="Calibri" w:eastAsia="Calibri"/>
                <w:b/>
                <w:color w:val="1F4788"/>
                <w:sz w:val="18"/>
              </w:rPr>
              <w:t>LECTURA (m³)</w:t>
            </w:r>
          </w:p>
        </w:tc>
        <w:tc>
          <w:tcPr>
            <w:tcW w:type="dxa" w:w="1441"/>
            <w:shd w:fill="D6E3F0" w:val="clear"/>
          </w:tcPr>
          <w:p>
            <w:r>
              <w:rPr>
                <w:rFonts w:ascii="Calibri" w:hAnsi="Calibri" w:eastAsia="Calibri"/>
                <w:b/>
                <w:color w:val="1F4788"/>
                <w:sz w:val="18"/>
              </w:rPr>
              <w:t>FECHA FINAL</w:t>
            </w:r>
          </w:p>
        </w:tc>
        <w:tc>
          <w:tcPr>
            <w:tcW w:type="dxa" w:w="1441"/>
            <w:shd w:fill="D6E3F0" w:val="clear"/>
          </w:tcPr>
          <w:p>
            <w:r>
              <w:rPr>
                <w:rFonts w:ascii="Calibri" w:hAnsi="Calibri" w:eastAsia="Calibri"/>
                <w:b/>
                <w:color w:val="1F4788"/>
                <w:sz w:val="18"/>
              </w:rPr>
              <w:t>LECTURA (m³)</w:t>
            </w:r>
          </w:p>
        </w:tc>
        <w:tc>
          <w:tcPr>
            <w:tcW w:type="dxa" w:w="1441"/>
            <w:shd w:fill="D6E3F0" w:val="clear"/>
          </w:tcPr>
          <w:p>
            <w:r>
              <w:rPr>
                <w:rFonts w:ascii="Calibri" w:hAnsi="Calibri" w:eastAsia="Calibri"/>
                <w:b/>
                <w:color w:val="1F4788"/>
                <w:sz w:val="18"/>
              </w:rPr>
              <w:t>CONSUMO m³</w:t>
            </w:r>
          </w:p>
        </w:tc>
        <w:tc>
          <w:tcPr>
            <w:tcW w:type="dxa" w:w="1441"/>
            <w:shd w:fill="D6E3F0" w:val="clear"/>
          </w:tcPr>
          <w:p>
            <w:r>
              <w:rPr>
                <w:rFonts w:ascii="Calibri" w:hAnsi="Calibri" w:eastAsia="Calibri"/>
                <w:b/>
                <w:color w:val="1F4788"/>
                <w:sz w:val="18"/>
              </w:rPr>
              <w:t>HORAS</w:t>
            </w:r>
          </w:p>
        </w:tc>
      </w:tr>
      <w:tr>
        <w:trPr>
          <w:cantSplit/>
        </w:trPr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Etapa N°5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22-09-2026 14:00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5.144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23-09-2026 17:00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5.177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33,00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27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5043"/>
        <w:gridCol w:w="5043"/>
      </w:tblGrid>
      <w:tr>
        <w:trPr>
          <w:cantSplit/>
        </w:trPr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App WES</w:t>
            </w:r>
          </w:p>
        </w:tc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31,10 m³</w:t>
            </w:r>
          </w:p>
        </w:tc>
      </w:tr>
      <w:tr>
        <w:trPr>
          <w:cantSplit/>
        </w:trPr>
        <w:tc>
          <w:tcPr>
            <w:tcW w:type="dxa" w:w="5043"/>
            <w:shd w:fill="F5F8FB" w:val="clear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Lectura Sensus</w:t>
            </w:r>
          </w:p>
        </w:tc>
        <w:tc>
          <w:tcPr>
            <w:tcW w:type="dxa" w:w="5043"/>
            <w:shd w:fill="F5F8FB" w:val="clear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33,00 m³</w:t>
            </w:r>
          </w:p>
        </w:tc>
      </w:tr>
      <w:tr>
        <w:trPr>
          <w:cantSplit/>
        </w:trPr>
        <w:tc>
          <w:tcPr>
            <w:tcW w:type="dxa" w:w="5043"/>
            <w:shd w:fill="E8F5E9" w:val="clear"/>
          </w:tcPr>
          <w:p>
            <w:r>
              <w:rPr>
                <w:rFonts w:ascii="Calibri" w:hAnsi="Calibri" w:eastAsia="Calibri"/>
                <w:b/>
                <w:color w:val="1B5E20"/>
                <w:sz w:val="20"/>
              </w:rPr>
              <w:t>% Error</w:t>
            </w:r>
          </w:p>
        </w:tc>
        <w:tc>
          <w:tcPr>
            <w:tcW w:type="dxa" w:w="5043"/>
            <w:shd w:fill="E8F5E9" w:val="clear"/>
          </w:tcPr>
          <w:p>
            <w:r>
              <w:rPr>
                <w:rFonts w:ascii="Calibri" w:hAnsi="Calibri" w:eastAsia="Calibri"/>
                <w:b/>
                <w:color w:val="1B5E20"/>
                <w:sz w:val="20"/>
              </w:rPr>
              <w:t>5,8 %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Error entre lectura Sensus y app WES: 5,8 % (1 − 31,10/33,00).</w:t>
      </w:r>
    </w:p>
    <w:p>
      <w:pPr>
        <w:pStyle w:val="Heading1"/>
      </w:pPr>
      <w:r>
        <w:rPr>
          <w:rFonts w:ascii="Calibri" w:hAnsi="Calibri" w:eastAsia="Calibri"/>
          <w:color w:val="1F4788"/>
          <w:sz w:val="28"/>
        </w:rPr>
        <w:t>5. Conclusión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Se confirma falla de memoria de placa (sensor Sensus/HRI y voltajes OK). Validación post-cambio: lectura mecánica 33,00 m³ vs app WES 31,10 m³ (% error 5,8 %). Aceptable (diferencia moderada). El agente IA de WES revisará de forma diaria que el caudal esté de acuerdo al consumo histórico del punto y al máximo de consumo compatible con la matriz DN90 (umbral 60 m³/h).</w:t>
      </w:r>
    </w:p>
    <w:p>
      <w:r>
        <w:rPr>
          <w:rFonts w:ascii="Calibri" w:hAnsi="Calibri" w:eastAsia="Calibri"/>
          <w:b w:val="0"/>
          <w:color w:val="646E78"/>
          <w:sz w:val="16"/>
        </w:rPr>
        <w:t>WES · Informe final · Fundo Zapallar · 24-09-2026 10:41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