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pPr>
        <w:spacing w:after="80"/>
        <w:keepNext/>
        <w:keepLines/>
      </w:pPr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rPr>
          <w:cantSplit/>
          <w:tblHeader w:val="true"/>
        </w:trPr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rPr>
          <w:cantSplit/>
          <w:tblHeader w:val="true"/>
        </w:trPr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Error 5,8 %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33,00 / 31,10 m³</w:t>
            </w:r>
          </w:p>
        </w:tc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5.144 → 5.177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33 m³</w:t>
            </w:r>
          </w:p>
        </w:tc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DN90 · techo ≈ 60 m³/h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Q3 medidor 100 m³/h</w:t>
            </w:r>
          </w:p>
        </w:tc>
      </w:tr>
    </w:tbl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1. Objetivo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2. Resumen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Se detectaron pulsos del orden de 92 y 200 m³/h. Sensor inductivo, pulsos de revisión y voltajes OK; el error era de memoria de placa. Se reemplazó la memoria y se normalizó el punto. Validación Sensus vs app WES: error 5,8 % (aceptable (diferencia moderada)).</w:t>
      </w:r>
    </w:p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3. Actividades realizadas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3.1 Revisión en terreno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Sensor Census / inductivo OK, pulsos de revisión OK y voltajes correctos. Diagnóstico: falla de memoria de la placa. Acción: cambio de memoria; punto reparado/normalizado.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3.2 Medidor instalado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Medidor Sensus MeiStream Plus 100, serie 8 SEN01 2370 9030 (2023), Q3 = 100 m³/h. Módulo HRI-Mei B4 500 ms (serie 31730485), pulso DN 40–125 = 100 L/pulso. Lecturas: 5.144 m³ (22-09-2026) → 5.177 m³ (23-09-2026); Δ 33 m³.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3.3 Criterio hidráulico (DN90)</w:t>
      </w:r>
    </w:p>
    <w:p>
      <w:pPr>
        <w:spacing w:before="0" w:after="80"/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0"/>
        </w:rPr>
        <w:t>Red DN90 fierro dúctil. Techo práctico ≈ 60 m³/h (~2,5 m/s). El medidor admite Q3 = 100 m³/h, pero la red no entrega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  <w:pageBreakBefore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4. Cálculo de validación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4.1 Lecturas fotográficas Sensus</w:t>
      </w:r>
    </w:p>
    <w:p>
      <w:pPr>
        <w:spacing w:before="0" w:after="80"/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0"/>
        </w:rPr>
        <w:t>Relojería del medidor: 22-09-2026 14:30 → 23-09-2026 16:54.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FAFBFC" w:val="clear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1417320" cy="16609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0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1417320" cy="16609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0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D6E3F0" w:val="clear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22-09-2026 14:30</w:t>
            </w:r>
          </w:p>
        </w:tc>
        <w:tc>
          <w:tcPr>
            <w:tcW w:type="dxa" w:w="5043"/>
            <w:shd w:fill="D6E3F0" w:val="clear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23-09-2026 16:54</w:t>
            </w:r>
          </w:p>
        </w:tc>
      </w:tr>
    </w:tbl>
    <w:p>
      <w:pPr>
        <w:spacing w:before="200" w:after="120"/>
      </w:pP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4.2 Detalle del cálculo (22-09 14:00 → 23-09 17:00)</w:t>
      </w:r>
    </w:p>
    <w:p>
      <w:pPr>
        <w:spacing w:before="0" w:after="80"/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0"/>
        </w:rPr>
        <w:t>Consumo app WES (hora 14 completa del 22-09 → 17:00 del 23-09) versus Δ de lecturas mecánicas Sensus.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  <w:tblHeader w:val="true"/>
        </w:trPr>
        <w:tc>
          <w:tcPr>
            <w:tcW w:type="dxa" w:w="10087"/>
            <w:gridSpan w:val="7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Validación Etapa N°5 — medidor Sensus (lectura mecánica)</w:t>
            </w:r>
          </w:p>
        </w:tc>
      </w:tr>
      <w:tr>
        <w:trPr>
          <w:cantSplit/>
          <w:tblHeader w:val="true"/>
        </w:trPr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  <w:tblHeader w:val="true"/>
        </w:trPr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Etapa N°5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22-09-2026 14:00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5.144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23-09-2026 17:00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5.177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33,00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27</w:t>
            </w:r>
          </w:p>
        </w:tc>
      </w:tr>
    </w:tbl>
    <w:p>
      <w:pPr>
        <w:spacing w:before="80" w:after="40"/>
        <w:keepNext/>
        <w:keepLines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5,8 %</w:t>
            </w:r>
          </w:p>
        </w:tc>
      </w:tr>
    </w:tbl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Error Sensus vs app WES: 5,8 % (1 − 31,10/33,00).</w:t>
      </w:r>
    </w:p>
    <w:p>
      <w:pPr>
        <w:pStyle w:val="Heading1"/>
        <w:pageBreakBefore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11:06</w:t>
      </w:r>
    </w:p>
    <w:sectPr w:rsidR="00FC693F" w:rsidRPr="0006063C" w:rsidSect="00034616">
      <w:pgSz w:w="12240" w:h="15840"/>
      <w:pgMar w:top="794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