
<file path=[Content_Types].xml><?xml version="1.0" encoding="utf-8"?>
<Types xmlns="http://schemas.openxmlformats.org/package/2006/content-types">
  <Default Extension="bmp" ContentType="image/bmp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color w:val="1F4788"/>
          <w:sz w:val="28"/>
        </w:rPr>
        <w:t>Validaciones Fundo Zapallar — consolidado</w:t>
      </w:r>
    </w:p>
    <w:p>
      <w:r>
        <w:rPr>
          <w:rFonts w:ascii="Calibri" w:hAnsi="Calibri" w:eastAsia="Calibri"/>
          <w:b w:val="0"/>
          <w:color w:val="595959"/>
          <w:sz w:val="16"/>
        </w:rPr>
        <w:t>Relojería vs App WES · Matriz ESVAL (000027-01) y Etapa N°5 (000027-03) · Error = 1 − (relojería / app) · Uso interno WES</w:t>
      </w:r>
    </w:p>
    <w:p>
      <w:pPr>
        <w:pStyle w:val="Heading1"/>
      </w:pPr>
      <w:r>
        <w:rPr>
          <w:color w:val="1F4788"/>
        </w:rPr>
        <w:t>Historial de campañas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1"/>
        <w:gridCol w:w="1331"/>
        <w:gridCol w:w="1331"/>
        <w:gridCol w:w="1331"/>
        <w:gridCol w:w="1331"/>
        <w:gridCol w:w="1331"/>
        <w:gridCol w:w="1331"/>
        <w:gridCol w:w="1331"/>
      </w:tblGrid>
      <w:tr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/>
                <w:color w:val="1F4788"/>
                <w:sz w:val="16"/>
              </w:rPr>
              <w:t>Ventana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/>
                <w:color w:val="1F4788"/>
                <w:sz w:val="16"/>
              </w:rPr>
              <w:t>Matriz reloj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/>
                <w:color w:val="1F4788"/>
                <w:sz w:val="16"/>
              </w:rPr>
              <w:t>Matriz app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/>
                <w:color w:val="1F4788"/>
                <w:sz w:val="16"/>
              </w:rPr>
              <w:t>Err %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/>
                <w:color w:val="1F4788"/>
                <w:sz w:val="16"/>
              </w:rPr>
              <w:t>E5 reloj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/>
                <w:color w:val="1F4788"/>
                <w:sz w:val="16"/>
              </w:rPr>
              <w:t>E5 app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/>
                <w:color w:val="1F4788"/>
                <w:sz w:val="16"/>
              </w:rPr>
              <w:t>Err %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/>
                <w:color w:val="1F4788"/>
                <w:sz w:val="16"/>
              </w:rPr>
              <w:t>Estado</w:t>
            </w:r>
          </w:p>
        </w:tc>
      </w:tr>
      <w:tr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22-09 (mismo día)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21,74 m³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22,39 m³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2,9 %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—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—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—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M:Ace</w:t>
            </w:r>
          </w:p>
        </w:tc>
      </w:tr>
      <w:tr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22-09 → 28-09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758,5 m³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785,88 m³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3,5 %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81,0 m³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65,8 m³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18,8 %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M:Ace / E5:Rev</w:t>
            </w:r>
          </w:p>
        </w:tc>
      </w:tr>
      <w:tr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23-09 → 02-10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1.281,9 m³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1.309,56 m³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2,1 %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195,0 m³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195,6 m³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0,3 %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M:Ace / E5:Exc</w:t>
            </w:r>
          </w:p>
        </w:tc>
      </w:tr>
      <w:tr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02-10 → 14-10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1.391,5 m³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1.425,87 m³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2,4 %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242,1 m³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243,4 m³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0,5 %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M:Ace / E5:Exc</w:t>
            </w:r>
          </w:p>
        </w:tc>
      </w:tr>
      <w:tr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02-10 → 15-10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1.458,9 m³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1.496,32 m³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2,5 %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258,0 m³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261,7 m³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1,4 %</w:t>
            </w:r>
          </w:p>
        </w:tc>
        <w:tc>
          <w:tcPr>
            <w:tcW w:type="dxa" w:w="1331"/>
          </w:tcPr>
          <w:p>
            <w:r/>
            <w:r>
              <w:rPr>
                <w:rFonts w:ascii="Calibri" w:hAnsi="Calibri" w:eastAsia="Calibri"/>
                <w:b w:val="0"/>
                <w:sz w:val="16"/>
              </w:rPr>
              <w:t>M:Ace / E5:Ace</w:t>
            </w:r>
          </w:p>
        </w:tc>
      </w:tr>
    </w:tbl>
    <w:p/>
    <w:p>
      <w:pPr>
        <w:pStyle w:val="Heading1"/>
      </w:pPr>
      <w:r>
        <w:rPr>
          <w:color w:val="1F4788"/>
        </w:rPr>
        <w:t>Notas por campaña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16"/>
        </w:rPr>
        <w:t>22-09 (mismo día) — 11:50 → 15:00 · ultrasónico vs Itron. Ajuste DN/mortero/M45 en terreno.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16"/>
        </w:rPr>
        <w:t>22-09 → 28-09 — Validación única FINAL (cliente). Etapa 5 incluye día de intervención de placa.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16"/>
        </w:rPr>
        <w:t>23-09 → 02-10 — Relojería post-intervención. Cierre con fotos del 02-10.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16"/>
        </w:rPr>
        <w:t>02-10 → 14-10 — Fotos tarde 14-10 + Excel app. Horas completas; excluye hora de cada foto.</w:t>
      </w:r>
    </w:p>
    <w:p>
      <w:pPr>
        <w:pStyle w:val="ListBullet"/>
        <w:spacing w:after="20"/>
      </w:pPr>
      <w:r>
        <w:rPr>
          <w:rFonts w:ascii="Calibri" w:hAnsi="Calibri" w:eastAsia="Calibri"/>
          <w:b w:val="0"/>
          <w:sz w:val="16"/>
        </w:rPr>
        <w:t>02-10 → 15-10 — Fotos mañana 15-10 + mismo Excel. Última campaña (vigente).</w:t>
      </w:r>
    </w:p>
    <w:p>
      <w:pPr>
        <w:pStyle w:val="Heading1"/>
      </w:pPr>
      <w:r>
        <w:rPr>
          <w:color w:val="1F4788"/>
        </w:rPr>
        <w:t>Lectura consolidada</w:t>
      </w:r>
    </w:p>
    <w:p>
      <w:pPr>
        <w:jc w:val="both"/>
      </w:pPr>
      <w:r>
        <w:rPr>
          <w:rFonts w:ascii="Calibri" w:hAnsi="Calibri" w:eastAsia="Calibri"/>
          <w:b w:val="0"/>
          <w:sz w:val="18"/>
        </w:rPr>
        <w:t>Matriz ESVAL se mantiene estable entre 2,1 % y 3,5 % (app por encima del Itron). Etapa N°5 cierra excelente/aceptable en las campañas post-placa (0,3 % → 1,4 %); el 18,8 % del 22–28/09 corresponde a la ventana que incluye el día de intervención de memoria. Última campaña vigente: 02-10 → 15-10 (Matriz 2,5 %, Etapa 5 1,4 %).</w:t>
      </w:r>
    </w:p>
    <w:p>
      <w:pPr>
        <w:spacing w:before="120"/>
      </w:pPr>
      <w:r>
        <w:rPr>
          <w:rFonts w:ascii="Calibri" w:hAnsi="Calibri" w:eastAsia="Calibri"/>
          <w:b w:val="0"/>
          <w:color w:val="595959"/>
          <w:sz w:val="14"/>
        </w:rPr>
        <w:t>WES · generado 16-10-2026 15:18</w:t>
      </w:r>
    </w:p>
    <w:sectPr w:rsidR="00FC693F" w:rsidRPr="0006063C" w:rsidSect="00034616">
      <w:headerReference w:type="default" r:id="rId9"/>
      <w:pgSz w:w="12240" w:h="15840"/>
      <w:pgMar w:top="680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/>
      <w:jc w:val="right"/>
    </w:pPr>
    <w:r>
      <w:drawing>
        <wp:inline xmlns:a="http://schemas.openxmlformats.org/drawingml/2006/main" xmlns:pic="http://schemas.openxmlformats.org/drawingml/2006/picture">
          <wp:extent cx="1371600" cy="30408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 wes.bmp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30408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b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