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Renca — regulación para el lunes 24/08 (10 % de rendimiento)</w:t>
      </w:r>
    </w:p>
    <w:p>
      <w:r>
        <w:rPr>
          <w:b/>
        </w:rPr>
        <w:t xml:space="preserve">Vuelve el periodo con control. </w:t>
      </w:r>
      <w:r>
        <w:t>Línea base = sin WES 17–20/08. Objetivo = gastar ~90 % de esa línea (10 % de rendimiento). Jueves 20 incluido hasta 21:59 Chile. En WES se carga un caudal máximo (100 %) y el horario usa solo 30 %, 60 % o 100 % de ese máximo.</w:t>
      </w:r>
    </w:p>
    <w:p>
      <w:pPr>
        <w:pStyle w:val="Heading1"/>
      </w:pPr>
      <w:r>
        <w:t>Cómo programar</w:t>
      </w:r>
    </w:p>
    <w:p>
      <w:r>
        <w:t>1) Cargar el 100 % = m³/h (o L/min) de la tabla. 2) Pintar el día: verde 100 % en horas pico, amarillo 60 %, rojo 30 %. 3) El 60 % y el 30 % salen solos: son 0,60 y 0,30 del mismo 100 %.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100 % m³/h</w:t>
            </w:r>
          </w:p>
        </w:tc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60 % m³/h</w:t>
            </w:r>
          </w:p>
        </w:tc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30 % m³/h</w:t>
            </w:r>
          </w:p>
        </w:tc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100 % L/min</w:t>
            </w:r>
          </w:p>
        </w:tc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Σ día (m³)</w:t>
            </w:r>
          </w:p>
        </w:tc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Rend. 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ICCP (Cumbre de Cóndores pte.)</w:t>
            </w:r>
          </w:p>
        </w:tc>
        <w:tc>
          <w:tcPr>
            <w:tcW w:type="dxa" w:w="1234"/>
            <w:shd w:val="clear" w:fill="C6EFCE"/>
          </w:tcPr>
          <w:p>
            <w:r>
              <w:rPr>
                <w:sz w:val="18"/>
              </w:rPr>
              <w:t>2,06</w:t>
            </w:r>
          </w:p>
        </w:tc>
        <w:tc>
          <w:tcPr>
            <w:tcW w:type="dxa" w:w="1234"/>
            <w:shd w:val="clear" w:fill="FFF2CC"/>
          </w:tcPr>
          <w:p>
            <w:r>
              <w:rPr>
                <w:sz w:val="18"/>
              </w:rPr>
              <w:t>1,24</w:t>
            </w:r>
          </w:p>
        </w:tc>
        <w:tc>
          <w:tcPr>
            <w:tcW w:type="dxa" w:w="1234"/>
            <w:shd w:val="clear" w:fill="FFC7CE"/>
          </w:tcPr>
          <w:p>
            <w:r>
              <w:rPr>
                <w:sz w:val="18"/>
              </w:rPr>
              <w:t>0,62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34,3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19,1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10 %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Esc. Lo Velásquez</w:t>
            </w:r>
          </w:p>
        </w:tc>
        <w:tc>
          <w:tcPr>
            <w:tcW w:type="dxa" w:w="1234"/>
            <w:shd w:val="clear" w:fill="C6EFCE"/>
          </w:tcPr>
          <w:p>
            <w:r>
              <w:rPr>
                <w:sz w:val="18"/>
              </w:rPr>
              <w:t>0,86</w:t>
            </w:r>
          </w:p>
        </w:tc>
        <w:tc>
          <w:tcPr>
            <w:tcW w:type="dxa" w:w="1234"/>
            <w:shd w:val="clear" w:fill="FFF2CC"/>
          </w:tcPr>
          <w:p>
            <w:r>
              <w:rPr>
                <w:sz w:val="18"/>
              </w:rPr>
              <w:t>0,52</w:t>
            </w:r>
          </w:p>
        </w:tc>
        <w:tc>
          <w:tcPr>
            <w:tcW w:type="dxa" w:w="1234"/>
            <w:shd w:val="clear" w:fill="FFC7CE"/>
          </w:tcPr>
          <w:p>
            <w:r>
              <w:rPr>
                <w:sz w:val="18"/>
              </w:rPr>
              <w:t>0,26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10 %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Gimnasio municipal</w:t>
            </w:r>
          </w:p>
        </w:tc>
        <w:tc>
          <w:tcPr>
            <w:tcW w:type="dxa" w:w="1234"/>
            <w:shd w:val="clear" w:fill="C6EFCE"/>
          </w:tcPr>
          <w:p>
            <w:r>
              <w:rPr>
                <w:sz w:val="18"/>
              </w:rPr>
              <w:t>0,45</w:t>
            </w:r>
          </w:p>
        </w:tc>
        <w:tc>
          <w:tcPr>
            <w:tcW w:type="dxa" w:w="1234"/>
            <w:shd w:val="clear" w:fill="FFF2CC"/>
          </w:tcPr>
          <w:p>
            <w:r>
              <w:rPr>
                <w:sz w:val="18"/>
              </w:rPr>
              <w:t>0,27</w:t>
            </w:r>
          </w:p>
        </w:tc>
        <w:tc>
          <w:tcPr>
            <w:tcW w:type="dxa" w:w="1234"/>
            <w:shd w:val="clear" w:fill="FFC7CE"/>
          </w:tcPr>
          <w:p>
            <w:r>
              <w:rPr>
                <w:sz w:val="18"/>
              </w:rPr>
              <w:t>0,13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7,2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10 %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Piscina municipal</w:t>
            </w:r>
          </w:p>
        </w:tc>
        <w:tc>
          <w:tcPr>
            <w:tcW w:type="dxa" w:w="1234"/>
            <w:shd w:val="clear" w:fill="C6EFCE"/>
          </w:tcPr>
          <w:p>
            <w:r>
              <w:rPr>
                <w:sz w:val="18"/>
              </w:rPr>
              <w:t>2,2</w:t>
            </w:r>
          </w:p>
        </w:tc>
        <w:tc>
          <w:tcPr>
            <w:tcW w:type="dxa" w:w="1234"/>
            <w:shd w:val="clear" w:fill="FFF2CC"/>
          </w:tcPr>
          <w:p>
            <w:r>
              <w:rPr>
                <w:sz w:val="18"/>
              </w:rPr>
              <w:t>1,32</w:t>
            </w:r>
          </w:p>
        </w:tc>
        <w:tc>
          <w:tcPr>
            <w:tcW w:type="dxa" w:w="1234"/>
            <w:shd w:val="clear" w:fill="FFC7CE"/>
          </w:tcPr>
          <w:p>
            <w:r>
              <w:rPr>
                <w:sz w:val="18"/>
              </w:rPr>
              <w:t>0,66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36,6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50,5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10 %</w:t>
            </w:r>
          </w:p>
        </w:tc>
      </w:tr>
    </w:tbl>
    <w:p>
      <w:r>
        <w:t>Números de la tabla = perfil del lunes 17 (el homólogo del lunes 24). La hoja «día tipo» del Excel usa la mediana lun–jue por si el miércoles 19 de ICCP no se quiere repetir.</w:t>
      </w:r>
    </w:p>
    <w:p>
      <w:pPr>
        <w:pStyle w:val="Heading1"/>
      </w:pPr>
      <w:r>
        <w:t>ICCP (Cumbre de Cóndores pte.)</w:t>
      </w:r>
    </w:p>
    <w:p>
      <w:r>
        <w:t>Línea base lun 17: 21,2 m³. Con este horario: 19,1 m³ (10 %). Pico medido: 2,4 m³/h. 100 % a programar: 2,06 m³/h (34,3 L/min).</w:t>
      </w:r>
    </w:p>
    <w:p>
      <w:r>
        <w:drawing>
          <wp:inline xmlns:a="http://schemas.openxmlformats.org/drawingml/2006/main" xmlns:pic="http://schemas.openxmlformats.org/drawingml/2006/picture">
            <wp:extent cx="5760000" cy="2238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es24_000017-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85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Tope m³/h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Tope L/min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00:00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01:00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02:00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03:00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04:00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07:00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08:00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1,24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20,6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1,24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20,6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2,06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34,3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13:00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1,24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20,6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2,06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34,3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1,24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20,6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1,24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20,6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23:00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0,62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10,3</w:t>
            </w:r>
          </w:p>
        </w:tc>
      </w:tr>
    </w:tbl>
    <w:p>
      <w:pPr>
        <w:pStyle w:val="Heading1"/>
      </w:pPr>
      <w:r>
        <w:t>Esc. Lo Velásquez</w:t>
      </w:r>
    </w:p>
    <w:p>
      <w:r>
        <w:t>Línea base lun 17: 4,9 m³. Con este horario: 4,4 m³ (10 %). Pico medido: 0,99 m³/h. 100 % a programar: 0,86 m³/h (14,3 L/min).</w:t>
      </w:r>
    </w:p>
    <w:p>
      <w:r>
        <w:drawing>
          <wp:inline xmlns:a="http://schemas.openxmlformats.org/drawingml/2006/main" xmlns:pic="http://schemas.openxmlformats.org/drawingml/2006/picture">
            <wp:extent cx="5760000" cy="2238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es24_000017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85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Tope m³/h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Tope L/min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00:00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01:00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02:00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03:00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04:00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07:00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08:00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0,86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0,86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14,3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13:00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0,52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8,6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0,86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14,3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0,52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8,6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23:00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</w:tbl>
    <w:p>
      <w:pPr>
        <w:pStyle w:val="Heading1"/>
      </w:pPr>
      <w:r>
        <w:t>Gimnasio municipal</w:t>
      </w:r>
    </w:p>
    <w:p>
      <w:r>
        <w:t>Línea base lun 17: 8 m³. Con este horario: 7,2 m³ (10 %). Pico medido: 0,49 m³/h. 100 % a programar: 0,45 m³/h (7,5 L/min).</w:t>
      </w:r>
    </w:p>
    <w:p>
      <w:r>
        <w:drawing>
          <wp:inline xmlns:a="http://schemas.openxmlformats.org/drawingml/2006/main" xmlns:pic="http://schemas.openxmlformats.org/drawingml/2006/picture">
            <wp:extent cx="5760000" cy="2238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es24_000017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85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Tope m³/h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Tope L/min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00:00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01:00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02:00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03:00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04:00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07:00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08:00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13:00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0,13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2,2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0,13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2,2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23:00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</w:tbl>
    <w:p>
      <w:pPr>
        <w:pStyle w:val="Heading1"/>
      </w:pPr>
      <w:r>
        <w:t>Piscina municipal</w:t>
      </w:r>
    </w:p>
    <w:p>
      <w:r>
        <w:t>Línea base lun 17: 56,1 m³. Con este horario: 50,5 m³ (10 %). Pico medido: 2,59 m³/h. 100 % a programar: 2,2 m³/h (36,6 L/min).</w:t>
      </w:r>
    </w:p>
    <w:p>
      <w:r>
        <w:drawing>
          <wp:inline xmlns:a="http://schemas.openxmlformats.org/drawingml/2006/main" xmlns:pic="http://schemas.openxmlformats.org/drawingml/2006/picture">
            <wp:extent cx="5760000" cy="2238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es24_000017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85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Tope m³/h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Tope L/min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00:00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0,66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01:00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02:00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03:00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04:00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07:00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08:00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13:00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23:00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2,2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36,6</w:t>
            </w:r>
          </w:p>
        </w:tc>
      </w:tr>
    </w:tbl>
    <w:p>
      <w:pPr>
        <w:pStyle w:val="Heading1"/>
      </w:pPr>
      <w:r>
        <w:t>Notas</w:t>
      </w:r>
    </w:p>
    <w:p>
      <w:r>
        <w:t>La piscina en 17–19 ago estuvo casi plana (~56–58 m³/día). Si el perfil es plano, casi todas las horas quedan en 100 % y el 10 % sale bajando el caudal máximo (100 % ≈ 90 % del m³/h medido). ICCP no: el miércoles 19 duplicó; el lunes 24 usa el lunes 17, no ese pico.</w:t>
      </w:r>
    </w:p>
    <w:p>
      <w:r>
        <w:t>Escuela y gimnasio en 17–20 gastaron menos que la semana con WES. Ahí el 10 % es un tope suave para no dispararlos al reactivar control, no un recorte agresivo.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