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788"/>
        </w:rPr>
        <w:t>Rendimiento hídrico WES — Renca (sin control desde el 17/08/2026)</w:t>
      </w:r>
    </w:p>
    <w:p>
      <w:r>
        <w:rPr>
          <w:b/>
        </w:rPr>
        <w:t xml:space="preserve">Cliente / comuna: </w:t>
      </w:r>
      <w:r>
        <w:t>ICCP Renca — Escuela Lo Velásquez, Gimnasio municipal y Piscina municipal.</w:t>
      </w:r>
    </w:p>
    <w:p>
      <w:r>
        <w:rPr>
          <w:b/>
        </w:rPr>
        <w:t xml:space="preserve">Generado: </w:t>
      </w:r>
      <w:r>
        <w:t>19/08/2026 13:42 (hora Chile).</w:t>
      </w:r>
    </w:p>
    <w:p>
      <w:pPr>
        <w:pStyle w:val="Heading1"/>
      </w:pPr>
      <w:r>
        <w:t>1. Pregunta y método</w:t>
      </w:r>
    </w:p>
    <w:p>
      <w:r>
        <w:t>Desde el lunes 17 de agosto de 2026 los equipos quedaron sin control WES. Se compara ese periodo (hasta ahora) con cada semana lunes–domingo desde mayo 2026, cuando el control sí estaba activo, para responder: (a) qué semana genera el mayor rendimiento de ahorro hídrico; (b) si esta ventana con WES ahorra más que la misma ventana sin WES.</w:t>
      </w:r>
    </w:p>
    <w:p>
      <w:r>
        <w:t>Ventana homóloga (manzanas con manzanas): lunes 00:00–24:00 + martes 00:00–24:00 + miércoles 00:00–12:59 (última hora completa al momento del informe). Son 61 horas equivalentes en cada semana. El miércoles 19/08 se corta a las 12:59 para no comparar un día incompleto contra miércoles históricos de 24 h.</w:t>
      </w:r>
    </w:p>
    <w:p>
      <w:r>
        <w:t>Rendimiento % = (consumo Sin WES − consumo Con WES) / consumo Sin WES × 100. Positivo: esa semana con WES consumió menos que el periodo actual sin control. Se excluyen de la semana ganadora los recesos (consumo &lt; 20 % de la mediana del punto): un recinto cerrado no es ahorro del equipo. Valoración referencial: $1.300 CLP/m³.</w:t>
      </w:r>
    </w:p>
    <w:p>
      <w:pPr>
        <w:pStyle w:val="Heading1"/>
      </w:pPr>
      <w:r>
        <w:t>2. Periodo sin WES (17–19 agosto 2026)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788"/>
          </w:tcPr>
          <w:p>
            <w:r>
              <w:rPr>
                <w:b/>
                <w:color w:val="FFFFFF"/>
                <w:sz w:val="18"/>
              </w:rPr>
              <w:t>Establecimiento</w:t>
            </w:r>
          </w:p>
        </w:tc>
        <w:tc>
          <w:tcPr>
            <w:tcW w:type="dxa" w:w="1728"/>
            <w:shd w:val="clear" w:fill="1F4788"/>
          </w:tcPr>
          <w:p>
            <w:r>
              <w:rPr>
                <w:b/>
                <w:color w:val="FFFFFF"/>
                <w:sz w:val="18"/>
              </w:rPr>
              <w:t>Lunes 17 (m³)</w:t>
            </w:r>
          </w:p>
        </w:tc>
        <w:tc>
          <w:tcPr>
            <w:tcW w:type="dxa" w:w="1728"/>
            <w:shd w:val="clear" w:fill="1F4788"/>
          </w:tcPr>
          <w:p>
            <w:r>
              <w:rPr>
                <w:b/>
                <w:color w:val="FFFFFF"/>
                <w:sz w:val="18"/>
              </w:rPr>
              <w:t>Martes 18 (m³)</w:t>
            </w:r>
          </w:p>
        </w:tc>
        <w:tc>
          <w:tcPr>
            <w:tcW w:type="dxa" w:w="1728"/>
            <w:shd w:val="clear" w:fill="1F4788"/>
          </w:tcPr>
          <w:p>
            <w:r>
              <w:rPr>
                <w:b/>
                <w:color w:val="FFFFFF"/>
                <w:sz w:val="18"/>
              </w:rPr>
              <w:t>Miércoles 19 hasta 12:59 (m³)</w:t>
            </w:r>
          </w:p>
        </w:tc>
        <w:tc>
          <w:tcPr>
            <w:tcW w:type="dxa" w:w="1728"/>
            <w:shd w:val="clear" w:fill="1F4788"/>
          </w:tcPr>
          <w:p>
            <w:r>
              <w:rPr>
                <w:b/>
                <w:color w:val="FFFFFF"/>
                <w:sz w:val="18"/>
              </w:rPr>
              <w:t>Total ventana (m³)</w:t>
            </w:r>
          </w:p>
        </w:tc>
      </w:tr>
      <w:tr>
        <w:tc>
          <w:tcPr>
            <w:tcW w:type="dxa" w:w="1728"/>
          </w:tcPr>
          <w:p>
            <w:r>
              <w:t>ICCP (Cumbre de Cóndores pte.)</w:t>
            </w:r>
          </w:p>
        </w:tc>
        <w:tc>
          <w:tcPr>
            <w:tcW w:type="dxa" w:w="1728"/>
          </w:tcPr>
          <w:p>
            <w:r>
              <w:t>21,2</w:t>
            </w:r>
          </w:p>
        </w:tc>
        <w:tc>
          <w:tcPr>
            <w:tcW w:type="dxa" w:w="1728"/>
          </w:tcPr>
          <w:p>
            <w:r>
              <w:t>21,4</w:t>
            </w:r>
          </w:p>
        </w:tc>
        <w:tc>
          <w:tcPr>
            <w:tcW w:type="dxa" w:w="1728"/>
          </w:tcPr>
          <w:p>
            <w:r>
              <w:t>10,5</w:t>
            </w:r>
          </w:p>
        </w:tc>
        <w:tc>
          <w:tcPr>
            <w:tcW w:type="dxa" w:w="1728"/>
          </w:tcPr>
          <w:p>
            <w:r>
              <w:t>53,1</w:t>
            </w:r>
          </w:p>
        </w:tc>
      </w:tr>
      <w:tr>
        <w:tc>
          <w:tcPr>
            <w:tcW w:type="dxa" w:w="1728"/>
          </w:tcPr>
          <w:p>
            <w:r>
              <w:t>Esc. Lo Velásquez</w:t>
            </w:r>
          </w:p>
        </w:tc>
        <w:tc>
          <w:tcPr>
            <w:tcW w:type="dxa" w:w="1728"/>
          </w:tcPr>
          <w:p>
            <w:r>
              <w:t>4,9</w:t>
            </w:r>
          </w:p>
        </w:tc>
        <w:tc>
          <w:tcPr>
            <w:tcW w:type="dxa" w:w="1728"/>
          </w:tcPr>
          <w:p>
            <w:r>
              <w:t>5,9</w:t>
            </w:r>
          </w:p>
        </w:tc>
        <w:tc>
          <w:tcPr>
            <w:tcW w:type="dxa" w:w="1728"/>
          </w:tcPr>
          <w:p>
            <w:r>
              <w:t>2,5</w:t>
            </w:r>
          </w:p>
        </w:tc>
        <w:tc>
          <w:tcPr>
            <w:tcW w:type="dxa" w:w="1728"/>
          </w:tcPr>
          <w:p>
            <w:r>
              <w:t>13,3</w:t>
            </w:r>
          </w:p>
        </w:tc>
      </w:tr>
      <w:tr>
        <w:tc>
          <w:tcPr>
            <w:tcW w:type="dxa" w:w="1728"/>
          </w:tcPr>
          <w:p>
            <w:r>
              <w:t>Gimnasio municipal</w:t>
            </w:r>
          </w:p>
        </w:tc>
        <w:tc>
          <w:tcPr>
            <w:tcW w:type="dxa" w:w="1728"/>
          </w:tcPr>
          <w:p>
            <w:r>
              <w:t>8</w:t>
            </w:r>
          </w:p>
        </w:tc>
        <w:tc>
          <w:tcPr>
            <w:tcW w:type="dxa" w:w="1728"/>
          </w:tcPr>
          <w:p>
            <w:r>
              <w:t>5,6</w:t>
            </w:r>
          </w:p>
        </w:tc>
        <w:tc>
          <w:tcPr>
            <w:tcW w:type="dxa" w:w="1728"/>
          </w:tcPr>
          <w:p>
            <w:r>
              <w:t>2</w:t>
            </w:r>
          </w:p>
        </w:tc>
        <w:tc>
          <w:tcPr>
            <w:tcW w:type="dxa" w:w="1728"/>
          </w:tcPr>
          <w:p>
            <w:r>
              <w:t>15,6</w:t>
            </w:r>
          </w:p>
        </w:tc>
      </w:tr>
      <w:tr>
        <w:tc>
          <w:tcPr>
            <w:tcW w:type="dxa" w:w="1728"/>
          </w:tcPr>
          <w:p>
            <w:r>
              <w:t>Piscina municipal</w:t>
            </w:r>
          </w:p>
        </w:tc>
        <w:tc>
          <w:tcPr>
            <w:tcW w:type="dxa" w:w="1728"/>
          </w:tcPr>
          <w:p>
            <w:r>
              <w:t>56,1</w:t>
            </w:r>
          </w:p>
        </w:tc>
        <w:tc>
          <w:tcPr>
            <w:tcW w:type="dxa" w:w="1728"/>
          </w:tcPr>
          <w:p>
            <w:r>
              <w:t>58,5</w:t>
            </w:r>
          </w:p>
        </w:tc>
        <w:tc>
          <w:tcPr>
            <w:tcW w:type="dxa" w:w="1728"/>
          </w:tcPr>
          <w:p>
            <w:r>
              <w:t>30,8</w:t>
            </w:r>
          </w:p>
        </w:tc>
        <w:tc>
          <w:tcPr>
            <w:tcW w:type="dxa" w:w="1728"/>
          </w:tcPr>
          <w:p>
            <w:r>
              <w:t>145,5</w:t>
            </w:r>
          </w:p>
        </w:tc>
      </w:tr>
      <w:tr>
        <w:tc>
          <w:tcPr>
            <w:tcW w:type="dxa" w:w="1728"/>
          </w:tcPr>
          <w:p>
            <w:r>
              <w:rPr>
                <w:b/>
              </w:rPr>
              <w:t>Total 4 puntos</w:t>
            </w:r>
          </w:p>
        </w:tc>
        <w:tc>
          <w:tcPr>
            <w:tcW w:type="dxa" w:w="1728"/>
          </w:tcPr>
          <w:p>
            <w:r>
              <w:rPr>
                <w:b/>
              </w:rPr>
              <w:t>90,3</w:t>
            </w:r>
          </w:p>
        </w:tc>
        <w:tc>
          <w:tcPr>
            <w:tcW w:type="dxa" w:w="1728"/>
          </w:tcPr>
          <w:p>
            <w:r>
              <w:rPr>
                <w:b/>
              </w:rPr>
              <w:t>91,3</w:t>
            </w:r>
          </w:p>
        </w:tc>
        <w:tc>
          <w:tcPr>
            <w:tcW w:type="dxa" w:w="1728"/>
          </w:tcPr>
          <w:p>
            <w:r>
              <w:rPr>
                <w:b/>
              </w:rPr>
              <w:t>45,9</w:t>
            </w:r>
          </w:p>
        </w:tc>
        <w:tc>
          <w:tcPr>
            <w:tcW w:type="dxa" w:w="1728"/>
          </w:tcPr>
          <w:p>
            <w:r>
              <w:rPr>
                <w:b/>
              </w:rPr>
              <w:t>227,5</w:t>
            </w:r>
          </w:p>
        </w:tc>
      </w:tr>
    </w:tbl>
    <w:p>
      <w:r>
        <w:t>Consumo conjunto sin control en la ventana: 227,5 m³ (89,5 m³/día de ritmo).</w:t>
      </w:r>
    </w:p>
    <w:p>
      <w:pPr>
        <w:pStyle w:val="Heading1"/>
      </w:pPr>
      <w:r>
        <w:t>3. Comparación inmediata: última semana con WES vs ahora sin WES</w:t>
      </w:r>
    </w:p>
    <w:p>
      <w:r>
        <w:t>La lectura más limpia es la semana previa (lunes 10 a domingo 16 de agosto, control activo) contra el mismo tramo lun–mié de esta semana, ya sin control. Misma estación, misma ocupación esperable, mismos días de la semana.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fill="1F4788"/>
          </w:tcPr>
          <w:p>
            <w:r>
              <w:rPr>
                <w:b/>
                <w:color w:val="FFFFFF"/>
                <w:sz w:val="18"/>
              </w:rPr>
              <w:t>Establecimiento</w:t>
            </w:r>
          </w:p>
        </w:tc>
        <w:tc>
          <w:tcPr>
            <w:tcW w:type="dxa" w:w="1440"/>
            <w:shd w:val="clear" w:fill="1F4788"/>
          </w:tcPr>
          <w:p>
            <w:r>
              <w:rPr>
                <w:b/>
                <w:color w:val="FFFFFF"/>
                <w:sz w:val="18"/>
              </w:rPr>
              <w:t>10–16 ago con WES (m³)</w:t>
            </w:r>
          </w:p>
        </w:tc>
        <w:tc>
          <w:tcPr>
            <w:tcW w:type="dxa" w:w="1440"/>
            <w:shd w:val="clear" w:fill="1F4788"/>
          </w:tcPr>
          <w:p>
            <w:r>
              <w:rPr>
                <w:b/>
                <w:color w:val="FFFFFF"/>
                <w:sz w:val="18"/>
              </w:rPr>
              <w:t>17–19 ago sin WES (m³)</w:t>
            </w:r>
          </w:p>
        </w:tc>
        <w:tc>
          <w:tcPr>
            <w:tcW w:type="dxa" w:w="1440"/>
            <w:shd w:val="clear" w:fill="1F4788"/>
          </w:tcPr>
          <w:p>
            <w:r>
              <w:rPr>
                <w:b/>
                <w:color w:val="FFFFFF"/>
                <w:sz w:val="18"/>
              </w:rPr>
              <w:t>Ahorro (m³)</w:t>
            </w:r>
          </w:p>
        </w:tc>
        <w:tc>
          <w:tcPr>
            <w:tcW w:type="dxa" w:w="1440"/>
            <w:shd w:val="clear" w:fill="1F4788"/>
          </w:tcPr>
          <w:p>
            <w:r>
              <w:rPr>
                <w:b/>
                <w:color w:val="FFFFFF"/>
                <w:sz w:val="18"/>
              </w:rPr>
              <w:t>Rendimiento</w:t>
            </w:r>
          </w:p>
        </w:tc>
        <w:tc>
          <w:tcPr>
            <w:tcW w:type="dxa" w:w="1440"/>
            <w:shd w:val="clear" w:fill="1F4788"/>
          </w:tcPr>
          <w:p>
            <w:r>
              <w:rPr>
                <w:b/>
                <w:color w:val="FFFFFF"/>
                <w:sz w:val="18"/>
              </w:rPr>
              <w:t>CLP</w:t>
            </w:r>
          </w:p>
        </w:tc>
      </w:tr>
      <w:tr>
        <w:tc>
          <w:tcPr>
            <w:tcW w:type="dxa" w:w="1440"/>
          </w:tcPr>
          <w:p>
            <w:r>
              <w:t>ICCP (Cumbre de Cóndores pte.)</w:t>
            </w:r>
          </w:p>
        </w:tc>
        <w:tc>
          <w:tcPr>
            <w:tcW w:type="dxa" w:w="1440"/>
          </w:tcPr>
          <w:p>
            <w:r>
              <w:t>38,5</w:t>
            </w:r>
          </w:p>
        </w:tc>
        <w:tc>
          <w:tcPr>
            <w:tcW w:type="dxa" w:w="1440"/>
          </w:tcPr>
          <w:p>
            <w:r>
              <w:t>53,1</w:t>
            </w:r>
          </w:p>
        </w:tc>
        <w:tc>
          <w:tcPr>
            <w:tcW w:type="dxa" w:w="1440"/>
          </w:tcPr>
          <w:p>
            <w:r>
              <w:t>14,6</w:t>
            </w:r>
          </w:p>
        </w:tc>
        <w:tc>
          <w:tcPr>
            <w:tcW w:type="dxa" w:w="1440"/>
          </w:tcPr>
          <w:p>
            <w:r>
              <w:t>27,5 %</w:t>
            </w:r>
          </w:p>
        </w:tc>
        <w:tc>
          <w:tcPr>
            <w:tcW w:type="dxa" w:w="1440"/>
          </w:tcPr>
          <w:p>
            <w:r>
              <w:t>$18.980</w:t>
            </w:r>
          </w:p>
        </w:tc>
      </w:tr>
      <w:tr>
        <w:tc>
          <w:tcPr>
            <w:tcW w:type="dxa" w:w="1440"/>
          </w:tcPr>
          <w:p>
            <w:r>
              <w:t>Esc. Lo Velásquez</w:t>
            </w:r>
          </w:p>
        </w:tc>
        <w:tc>
          <w:tcPr>
            <w:tcW w:type="dxa" w:w="1440"/>
          </w:tcPr>
          <w:p>
            <w:r>
              <w:t>18,4</w:t>
            </w:r>
          </w:p>
        </w:tc>
        <w:tc>
          <w:tcPr>
            <w:tcW w:type="dxa" w:w="1440"/>
          </w:tcPr>
          <w:p>
            <w:r>
              <w:t>13,3</w:t>
            </w:r>
          </w:p>
        </w:tc>
        <w:tc>
          <w:tcPr>
            <w:tcW w:type="dxa" w:w="1440"/>
          </w:tcPr>
          <w:p>
            <w:r>
              <w:t>-5,2</w:t>
            </w:r>
          </w:p>
        </w:tc>
        <w:tc>
          <w:tcPr>
            <w:tcW w:type="dxa" w:w="1440"/>
          </w:tcPr>
          <w:p>
            <w:r>
              <w:t>-38,8 %</w:t>
            </w:r>
          </w:p>
        </w:tc>
        <w:tc>
          <w:tcPr>
            <w:tcW w:type="dxa" w:w="1440"/>
          </w:tcPr>
          <w:p>
            <w:r>
              <w:t>$-6.708</w:t>
            </w:r>
          </w:p>
        </w:tc>
      </w:tr>
      <w:tr>
        <w:tc>
          <w:tcPr>
            <w:tcW w:type="dxa" w:w="1440"/>
          </w:tcPr>
          <w:p>
            <w:r>
              <w:t>Gimnasio municipal</w:t>
            </w:r>
          </w:p>
        </w:tc>
        <w:tc>
          <w:tcPr>
            <w:tcW w:type="dxa" w:w="1440"/>
          </w:tcPr>
          <w:p>
            <w:r>
              <w:t>17,4</w:t>
            </w:r>
          </w:p>
        </w:tc>
        <w:tc>
          <w:tcPr>
            <w:tcW w:type="dxa" w:w="1440"/>
          </w:tcPr>
          <w:p>
            <w:r>
              <w:t>15,6</w:t>
            </w:r>
          </w:p>
        </w:tc>
        <w:tc>
          <w:tcPr>
            <w:tcW w:type="dxa" w:w="1440"/>
          </w:tcPr>
          <w:p>
            <w:r>
              <w:t>-1,8</w:t>
            </w:r>
          </w:p>
        </w:tc>
        <w:tc>
          <w:tcPr>
            <w:tcW w:type="dxa" w:w="1440"/>
          </w:tcPr>
          <w:p>
            <w:r>
              <w:t>-11,5 %</w:t>
            </w:r>
          </w:p>
        </w:tc>
        <w:tc>
          <w:tcPr>
            <w:tcW w:type="dxa" w:w="1440"/>
          </w:tcPr>
          <w:p>
            <w:r>
              <w:t>$-2.327</w:t>
            </w:r>
          </w:p>
        </w:tc>
      </w:tr>
      <w:tr>
        <w:tc>
          <w:tcPr>
            <w:tcW w:type="dxa" w:w="1440"/>
          </w:tcPr>
          <w:p>
            <w:r>
              <w:t>Piscina municipal</w:t>
            </w:r>
          </w:p>
        </w:tc>
        <w:tc>
          <w:tcPr>
            <w:tcW w:type="dxa" w:w="1440"/>
          </w:tcPr>
          <w:p>
            <w:r>
              <w:t>75,2</w:t>
            </w:r>
          </w:p>
        </w:tc>
        <w:tc>
          <w:tcPr>
            <w:tcW w:type="dxa" w:w="1440"/>
          </w:tcPr>
          <w:p>
            <w:r>
              <w:t>145,5</w:t>
            </w:r>
          </w:p>
        </w:tc>
        <w:tc>
          <w:tcPr>
            <w:tcW w:type="dxa" w:w="1440"/>
          </w:tcPr>
          <w:p>
            <w:r>
              <w:t>70,3</w:t>
            </w:r>
          </w:p>
        </w:tc>
        <w:tc>
          <w:tcPr>
            <w:tcW w:type="dxa" w:w="1440"/>
          </w:tcPr>
          <w:p>
            <w:r>
              <w:t>48,3 %</w:t>
            </w:r>
          </w:p>
        </w:tc>
        <w:tc>
          <w:tcPr>
            <w:tcW w:type="dxa" w:w="1440"/>
          </w:tcPr>
          <w:p>
            <w:r>
              <w:t>$91.338</w:t>
            </w:r>
          </w:p>
        </w:tc>
      </w:tr>
      <w:tr>
        <w:tc>
          <w:tcPr>
            <w:tcW w:type="dxa" w:w="1440"/>
          </w:tcPr>
          <w:p>
            <w:r>
              <w:rPr>
                <w:b/>
              </w:rPr>
              <w:t>Total 4 puntos</w:t>
            </w:r>
          </w:p>
        </w:tc>
        <w:tc>
          <w:tcPr>
            <w:tcW w:type="dxa" w:w="1440"/>
          </w:tcPr>
          <w:p>
            <w:r>
              <w:rPr>
                <w:b/>
              </w:rPr>
              <w:t>149,6</w:t>
            </w:r>
          </w:p>
        </w:tc>
        <w:tc>
          <w:tcPr>
            <w:tcW w:type="dxa" w:w="1440"/>
          </w:tcPr>
          <w:p>
            <w:r>
              <w:rPr>
                <w:b/>
              </w:rPr>
              <w:t>227,5</w:t>
            </w:r>
          </w:p>
        </w:tc>
        <w:tc>
          <w:tcPr>
            <w:tcW w:type="dxa" w:w="1440"/>
          </w:tcPr>
          <w:p>
            <w:r>
              <w:rPr>
                <w:b/>
              </w:rPr>
              <w:t>77,9</w:t>
            </w:r>
          </w:p>
        </w:tc>
        <w:tc>
          <w:tcPr>
            <w:tcW w:type="dxa" w:w="1440"/>
          </w:tcPr>
          <w:p>
            <w:r>
              <w:rPr>
                <w:b/>
              </w:rPr>
              <w:t>34,3 %</w:t>
            </w:r>
          </w:p>
        </w:tc>
        <w:tc>
          <w:tcPr>
            <w:tcW w:type="dxa" w:w="1440"/>
          </w:tcPr>
          <w:p>
            <w:r>
              <w:rPr>
                <w:b/>
              </w:rPr>
              <w:t>$101.283</w:t>
            </w:r>
          </w:p>
        </w:tc>
      </w:tr>
    </w:tbl>
    <w:p>
      <w:r>
        <w:t>En esta ventana, con WES se consumieron 149,6 m³ y sin WES 227,5 m³. El control de la semana previa ahorra 77,9 m³ (34,3 %), ≈ $101.283. El salto lo explica sobre todo la piscina (de ~31 m³/día con control a ~56–58 m³/día sin control) e ICCP (de ~16 m³/día a ~21 m³/día).</w:t>
      </w:r>
    </w:p>
    <w:p>
      <w:pPr>
        <w:pStyle w:val="Heading1"/>
      </w:pPr>
      <w:r>
        <w:t>4. Semana de mayor rendimiento operativo (mayo → 16 agosto)</w:t>
      </w:r>
    </w:p>
    <w:p>
      <w:r>
        <w:t>Entre las semanas con ocupación comparable (se descartan recesos: piscina o recinto en ~0 m³), la ganadora es la de mayor rendimiento % respecto del periodo actual sin WES.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fill="1F4788"/>
          </w:tcPr>
          <w:p>
            <w:r>
              <w:rPr>
                <w:b/>
                <w:color w:val="FFFFFF"/>
                <w:sz w:val="18"/>
              </w:rPr>
              <w:t>Establecimiento</w:t>
            </w:r>
          </w:p>
        </w:tc>
        <w:tc>
          <w:tcPr>
            <w:tcW w:type="dxa" w:w="1234"/>
            <w:shd w:val="clear" w:fill="1F4788"/>
          </w:tcPr>
          <w:p>
            <w:r>
              <w:rPr>
                <w:b/>
                <w:color w:val="FFFFFF"/>
                <w:sz w:val="18"/>
              </w:rPr>
              <w:t>Mejor semana</w:t>
            </w:r>
          </w:p>
        </w:tc>
        <w:tc>
          <w:tcPr>
            <w:tcW w:type="dxa" w:w="1234"/>
            <w:shd w:val="clear" w:fill="1F4788"/>
          </w:tcPr>
          <w:p>
            <w:r>
              <w:rPr>
                <w:b/>
                <w:color w:val="FFFFFF"/>
                <w:sz w:val="18"/>
              </w:rPr>
              <w:t>Con WES (m³)</w:t>
            </w:r>
          </w:p>
        </w:tc>
        <w:tc>
          <w:tcPr>
            <w:tcW w:type="dxa" w:w="1234"/>
            <w:shd w:val="clear" w:fill="1F4788"/>
          </w:tcPr>
          <w:p>
            <w:r>
              <w:rPr>
                <w:b/>
                <w:color w:val="FFFFFF"/>
                <w:sz w:val="18"/>
              </w:rPr>
              <w:t>Sin WES (m³)</w:t>
            </w:r>
          </w:p>
        </w:tc>
        <w:tc>
          <w:tcPr>
            <w:tcW w:type="dxa" w:w="1234"/>
            <w:shd w:val="clear" w:fill="1F4788"/>
          </w:tcPr>
          <w:p>
            <w:r>
              <w:rPr>
                <w:b/>
                <w:color w:val="FFFFFF"/>
                <w:sz w:val="18"/>
              </w:rPr>
              <w:t>Ahorro (m³)</w:t>
            </w:r>
          </w:p>
        </w:tc>
        <w:tc>
          <w:tcPr>
            <w:tcW w:type="dxa" w:w="1234"/>
            <w:shd w:val="clear" w:fill="1F4788"/>
          </w:tcPr>
          <w:p>
            <w:r>
              <w:rPr>
                <w:b/>
                <w:color w:val="FFFFFF"/>
                <w:sz w:val="18"/>
              </w:rPr>
              <w:t>Rendimiento</w:t>
            </w:r>
          </w:p>
        </w:tc>
        <w:tc>
          <w:tcPr>
            <w:tcW w:type="dxa" w:w="1234"/>
            <w:shd w:val="clear" w:fill="1F4788"/>
          </w:tcPr>
          <w:p>
            <w:r>
              <w:rPr>
                <w:b/>
                <w:color w:val="FFFFFF"/>
                <w:sz w:val="18"/>
              </w:rPr>
              <w:t>CLP</w:t>
            </w:r>
          </w:p>
        </w:tc>
      </w:tr>
      <w:tr>
        <w:tc>
          <w:tcPr>
            <w:tcW w:type="dxa" w:w="1234"/>
          </w:tcPr>
          <w:p>
            <w:r>
              <w:t>ICCP (Cumbre de Cóndores pte.)</w:t>
            </w:r>
          </w:p>
        </w:tc>
        <w:tc>
          <w:tcPr>
            <w:tcW w:type="dxa" w:w="1234"/>
          </w:tcPr>
          <w:p>
            <w:r>
              <w:t>11/05–17/05</w:t>
            </w:r>
          </w:p>
        </w:tc>
        <w:tc>
          <w:tcPr>
            <w:tcW w:type="dxa" w:w="1234"/>
          </w:tcPr>
          <w:p>
            <w:r>
              <w:t>23,8</w:t>
            </w:r>
          </w:p>
        </w:tc>
        <w:tc>
          <w:tcPr>
            <w:tcW w:type="dxa" w:w="1234"/>
          </w:tcPr>
          <w:p>
            <w:r>
              <w:t>53,1</w:t>
            </w:r>
          </w:p>
        </w:tc>
        <w:tc>
          <w:tcPr>
            <w:tcW w:type="dxa" w:w="1234"/>
          </w:tcPr>
          <w:p>
            <w:r>
              <w:t>29,3</w:t>
            </w:r>
          </w:p>
        </w:tc>
        <w:tc>
          <w:tcPr>
            <w:tcW w:type="dxa" w:w="1234"/>
          </w:tcPr>
          <w:p>
            <w:r>
              <w:t>55,2 %</w:t>
            </w:r>
          </w:p>
        </w:tc>
        <w:tc>
          <w:tcPr>
            <w:tcW w:type="dxa" w:w="1234"/>
          </w:tcPr>
          <w:p>
            <w:r>
              <w:t>$38.090</w:t>
            </w:r>
          </w:p>
        </w:tc>
      </w:tr>
      <w:tr>
        <w:tc>
          <w:tcPr>
            <w:tcW w:type="dxa" w:w="1234"/>
          </w:tcPr>
          <w:p>
            <w:r>
              <w:t>Esc. Lo Velásquez</w:t>
            </w:r>
          </w:p>
        </w:tc>
        <w:tc>
          <w:tcPr>
            <w:tcW w:type="dxa" w:w="1234"/>
          </w:tcPr>
          <w:p>
            <w:r>
              <w:t>20/07–26/07</w:t>
            </w:r>
          </w:p>
        </w:tc>
        <w:tc>
          <w:tcPr>
            <w:tcW w:type="dxa" w:w="1234"/>
          </w:tcPr>
          <w:p>
            <w:r>
              <w:t>8,7</w:t>
            </w:r>
          </w:p>
        </w:tc>
        <w:tc>
          <w:tcPr>
            <w:tcW w:type="dxa" w:w="1234"/>
          </w:tcPr>
          <w:p>
            <w:r>
              <w:t>13,3</w:t>
            </w:r>
          </w:p>
        </w:tc>
        <w:tc>
          <w:tcPr>
            <w:tcW w:type="dxa" w:w="1234"/>
          </w:tcPr>
          <w:p>
            <w:r>
              <w:t>4,6</w:t>
            </w:r>
          </w:p>
        </w:tc>
        <w:tc>
          <w:tcPr>
            <w:tcW w:type="dxa" w:w="1234"/>
          </w:tcPr>
          <w:p>
            <w:r>
              <w:t>34,3 %</w:t>
            </w:r>
          </w:p>
        </w:tc>
        <w:tc>
          <w:tcPr>
            <w:tcW w:type="dxa" w:w="1234"/>
          </w:tcPr>
          <w:p>
            <w:r>
              <w:t>$5.928</w:t>
            </w:r>
          </w:p>
        </w:tc>
      </w:tr>
      <w:tr>
        <w:tc>
          <w:tcPr>
            <w:tcW w:type="dxa" w:w="1234"/>
          </w:tcPr>
          <w:p>
            <w:r>
              <w:t>Gimnasio municipal</w:t>
            </w:r>
          </w:p>
        </w:tc>
        <w:tc>
          <w:tcPr>
            <w:tcW w:type="dxa" w:w="1234"/>
          </w:tcPr>
          <w:p>
            <w:r>
              <w:t>18/05–24/05</w:t>
            </w:r>
          </w:p>
        </w:tc>
        <w:tc>
          <w:tcPr>
            <w:tcW w:type="dxa" w:w="1234"/>
          </w:tcPr>
          <w:p>
            <w:r>
              <w:t>2,4</w:t>
            </w:r>
          </w:p>
        </w:tc>
        <w:tc>
          <w:tcPr>
            <w:tcW w:type="dxa" w:w="1234"/>
          </w:tcPr>
          <w:p>
            <w:r>
              <w:t>15,6</w:t>
            </w:r>
          </w:p>
        </w:tc>
        <w:tc>
          <w:tcPr>
            <w:tcW w:type="dxa" w:w="1234"/>
          </w:tcPr>
          <w:p>
            <w:r>
              <w:t>13,2</w:t>
            </w:r>
          </w:p>
        </w:tc>
        <w:tc>
          <w:tcPr>
            <w:tcW w:type="dxa" w:w="1234"/>
          </w:tcPr>
          <w:p>
            <w:r>
              <w:t>84,6 %</w:t>
            </w:r>
          </w:p>
        </w:tc>
        <w:tc>
          <w:tcPr>
            <w:tcW w:type="dxa" w:w="1234"/>
          </w:tcPr>
          <w:p>
            <w:r>
              <w:t>$17.186</w:t>
            </w:r>
          </w:p>
        </w:tc>
      </w:tr>
      <w:tr>
        <w:tc>
          <w:tcPr>
            <w:tcW w:type="dxa" w:w="1234"/>
          </w:tcPr>
          <w:p>
            <w:r>
              <w:t>Piscina municipal</w:t>
            </w:r>
          </w:p>
        </w:tc>
        <w:tc>
          <w:tcPr>
            <w:tcW w:type="dxa" w:w="1234"/>
          </w:tcPr>
          <w:p>
            <w:r>
              <w:t>27/07–02/08</w:t>
            </w:r>
          </w:p>
        </w:tc>
        <w:tc>
          <w:tcPr>
            <w:tcW w:type="dxa" w:w="1234"/>
          </w:tcPr>
          <w:p>
            <w:r>
              <w:t>71,3</w:t>
            </w:r>
          </w:p>
        </w:tc>
        <w:tc>
          <w:tcPr>
            <w:tcW w:type="dxa" w:w="1234"/>
          </w:tcPr>
          <w:p>
            <w:r>
              <w:t>145,5</w:t>
            </w:r>
          </w:p>
        </w:tc>
        <w:tc>
          <w:tcPr>
            <w:tcW w:type="dxa" w:w="1234"/>
          </w:tcPr>
          <w:p>
            <w:r>
              <w:t>74,1</w:t>
            </w:r>
          </w:p>
        </w:tc>
        <w:tc>
          <w:tcPr>
            <w:tcW w:type="dxa" w:w="1234"/>
          </w:tcPr>
          <w:p>
            <w:r>
              <w:t>51 %</w:t>
            </w:r>
          </w:p>
        </w:tc>
        <w:tc>
          <w:tcPr>
            <w:tcW w:type="dxa" w:w="1234"/>
          </w:tcPr>
          <w:p>
            <w:r>
              <w:t>$96.356</w:t>
            </w:r>
          </w:p>
        </w:tc>
      </w:tr>
      <w:tr>
        <w:tc>
          <w:tcPr>
            <w:tcW w:type="dxa" w:w="1234"/>
          </w:tcPr>
          <w:p>
            <w:r>
              <w:rPr>
                <w:b/>
              </w:rPr>
              <w:t>Agregado 4 puntos (mejor semana operativa)</w:t>
            </w:r>
          </w:p>
        </w:tc>
        <w:tc>
          <w:tcPr>
            <w:tcW w:type="dxa" w:w="1234"/>
          </w:tcPr>
          <w:p>
            <w:r>
              <w:rPr>
                <w:b/>
              </w:rPr>
              <w:t>13/07–19/07</w:t>
            </w:r>
          </w:p>
        </w:tc>
        <w:tc>
          <w:tcPr>
            <w:tcW w:type="dxa" w:w="1234"/>
          </w:tcPr>
          <w:p>
            <w:r>
              <w:rPr>
                <w:b/>
              </w:rPr>
              <w:t>126,3</w:t>
            </w:r>
          </w:p>
        </w:tc>
        <w:tc>
          <w:tcPr>
            <w:tcW w:type="dxa" w:w="1234"/>
          </w:tcPr>
          <w:p>
            <w:r>
              <w:rPr>
                <w:b/>
              </w:rPr>
              <w:t>227,5</w:t>
            </w:r>
          </w:p>
        </w:tc>
        <w:tc>
          <w:tcPr>
            <w:tcW w:type="dxa" w:w="1234"/>
          </w:tcPr>
          <w:p>
            <w:r>
              <w:rPr>
                <w:b/>
              </w:rPr>
              <w:t>101,2</w:t>
            </w:r>
          </w:p>
        </w:tc>
        <w:tc>
          <w:tcPr>
            <w:tcW w:type="dxa" w:w="1234"/>
          </w:tcPr>
          <w:p>
            <w:r>
              <w:rPr>
                <w:b/>
              </w:rPr>
              <w:t>44,5 %</w:t>
            </w:r>
          </w:p>
        </w:tc>
        <w:tc>
          <w:tcPr>
            <w:tcW w:type="dxa" w:w="1234"/>
          </w:tcPr>
          <w:p>
            <w:r>
              <w:rPr>
                <w:b/>
              </w:rPr>
              <w:t>$131.560</w:t>
            </w:r>
          </w:p>
        </w:tc>
      </w:tr>
    </w:tbl>
    <w:p/>
    <w:p>
      <w:r>
        <w:drawing>
          <wp:inline xmlns:a="http://schemas.openxmlformats.org/drawingml/2006/main" xmlns:pic="http://schemas.openxmlformats.org/drawingml/2006/picture">
            <wp:extent cx="5832000" cy="2719696"/>
            <wp:docPr id="1" name="Picture 1"/>
            <wp:cNvGraphicFramePr>
              <a:graphicFrameLocks noChangeAspect="1"/>
            </wp:cNvGraphicFramePr>
            <a:graphic>
              <a:graphicData uri="http://schemas.openxmlformats.org/drawingml/2006/picture">
                <pic:pic>
                  <pic:nvPicPr>
                    <pic:cNvPr id="0" name="resumen_puntos.png"/>
                    <pic:cNvPicPr/>
                  </pic:nvPicPr>
                  <pic:blipFill>
                    <a:blip r:embed="rId10"/>
                    <a:stretch>
                      <a:fillRect/>
                    </a:stretch>
                  </pic:blipFill>
                  <pic:spPr>
                    <a:xfrm>
                      <a:off x="0" y="0"/>
                      <a:ext cx="5832000" cy="2719696"/>
                    </a:xfrm>
                    <a:prstGeom prst="rect"/>
                  </pic:spPr>
                </pic:pic>
              </a:graphicData>
            </a:graphic>
          </wp:inline>
        </w:drawing>
      </w:r>
    </w:p>
    <w:p/>
    <w:p>
      <w:r>
        <w:drawing>
          <wp:inline xmlns:a="http://schemas.openxmlformats.org/drawingml/2006/main" xmlns:pic="http://schemas.openxmlformats.org/drawingml/2006/picture">
            <wp:extent cx="5832000" cy="2410644"/>
            <wp:docPr id="2" name="Picture 2"/>
            <wp:cNvGraphicFramePr>
              <a:graphicFrameLocks noChangeAspect="1"/>
            </wp:cNvGraphicFramePr>
            <a:graphic>
              <a:graphicData uri="http://schemas.openxmlformats.org/drawingml/2006/picture">
                <pic:pic>
                  <pic:nvPicPr>
                    <pic:cNvPr id="0" name="ranking_pct_agregado.png"/>
                    <pic:cNvPicPr/>
                  </pic:nvPicPr>
                  <pic:blipFill>
                    <a:blip r:embed="rId11"/>
                    <a:stretch>
                      <a:fillRect/>
                    </a:stretch>
                  </pic:blipFill>
                  <pic:spPr>
                    <a:xfrm>
                      <a:off x="0" y="0"/>
                      <a:ext cx="5832000" cy="2410644"/>
                    </a:xfrm>
                    <a:prstGeom prst="rect"/>
                  </pic:spPr>
                </pic:pic>
              </a:graphicData>
            </a:graphic>
          </wp:inline>
        </w:drawing>
      </w:r>
    </w:p>
    <w:p>
      <w:pPr>
        <w:pStyle w:val="Heading1"/>
      </w:pPr>
      <w:r>
        <w:t>5. ¿Esta ventana con WES ahorra más que sin WES?</w:t>
      </w:r>
    </w:p>
    <w:p>
      <w:r>
        <w:t>En la misma ventana lun–mié, el consumo conjunto sin WES fue 227,5 m³. La mediana de las 12 semanas operativas con WES (mayo–16 ago, sin receso de piscina) fue 170,5 m³ (rendimiento 25,1 %, 57 m³). La mejor semana operativa (13/07–19/07) bajó a 126,3 m³ (44,5 %, 101,2 m³). La última semana con control (10–16 ago) ahorró 77,9 m³ (34,3 %) en la misma ventana.</w:t>
      </w:r>
    </w:p>
    <w:p>
      <w:r>
        <w:t>Conclusión: el periodo CON control WES genera más rendimiento de ahorro que este periodo SIN control. En la comparación de temporada (10–16 ago vs 17–19 ago) el consumo ya subió 34,3 %. Restaurar el control es lo que recupera ese caudal, en particular en piscina e ICCP.</w:t>
      </w:r>
    </w:p>
    <w:p>
      <w:pPr>
        <w:pStyle w:val="Heading1"/>
      </w:pPr>
      <w:r>
        <w:t>6. Detalle por establecimiento</w:t>
      </w:r>
    </w:p>
    <w:p>
      <w:pPr>
        <w:pStyle w:val="Heading2"/>
      </w:pPr>
      <w:r>
        <w:t>ICCP (Cumbre de Cóndores pte.)</w:t>
      </w:r>
    </w:p>
    <w:p>
      <w:r>
        <w:t>Sin WES (17–19 ago): 53,1 m³ (lun 21,2 / mar 21,4 / mié-corte 10,5). Mejor semana con WES: 11/05–17/05 con 23,8 m³ (ahorro 29,3 m³; 55,2 %). Mediana con WES: 31,7 m³ (40,3 %).</w:t>
      </w:r>
    </w:p>
    <w:p>
      <w:r>
        <w:drawing>
          <wp:inline xmlns:a="http://schemas.openxmlformats.org/drawingml/2006/main" xmlns:pic="http://schemas.openxmlformats.org/drawingml/2006/picture">
            <wp:extent cx="5760000" cy="2379602"/>
            <wp:docPr id="3" name="Picture 3"/>
            <wp:cNvGraphicFramePr>
              <a:graphicFrameLocks noChangeAspect="1"/>
            </wp:cNvGraphicFramePr>
            <a:graphic>
              <a:graphicData uri="http://schemas.openxmlformats.org/drawingml/2006/picture">
                <pic:pic>
                  <pic:nvPicPr>
                    <pic:cNvPr id="0" name="barras_000017-07.png"/>
                    <pic:cNvPicPr/>
                  </pic:nvPicPr>
                  <pic:blipFill>
                    <a:blip r:embed="rId12"/>
                    <a:stretch>
                      <a:fillRect/>
                    </a:stretch>
                  </pic:blipFill>
                  <pic:spPr>
                    <a:xfrm>
                      <a:off x="0" y="0"/>
                      <a:ext cx="5760000" cy="2379602"/>
                    </a:xfrm>
                    <a:prstGeom prst="rect"/>
                  </pic:spPr>
                </pic:pic>
              </a:graphicData>
            </a:graphic>
          </wp:inline>
        </w:drawing>
      </w:r>
    </w:p>
    <w:p>
      <w:r>
        <w:drawing>
          <wp:inline xmlns:a="http://schemas.openxmlformats.org/drawingml/2006/main" xmlns:pic="http://schemas.openxmlformats.org/drawingml/2006/picture">
            <wp:extent cx="5760000" cy="2380883"/>
            <wp:docPr id="4" name="Picture 4"/>
            <wp:cNvGraphicFramePr>
              <a:graphicFrameLocks noChangeAspect="1"/>
            </wp:cNvGraphicFramePr>
            <a:graphic>
              <a:graphicData uri="http://schemas.openxmlformats.org/drawingml/2006/picture">
                <pic:pic>
                  <pic:nvPicPr>
                    <pic:cNvPr id="0" name="pct_000017-07.png"/>
                    <pic:cNvPicPr/>
                  </pic:nvPicPr>
                  <pic:blipFill>
                    <a:blip r:embed="rId13"/>
                    <a:stretch>
                      <a:fillRect/>
                    </a:stretch>
                  </pic:blipFill>
                  <pic:spPr>
                    <a:xfrm>
                      <a:off x="0" y="0"/>
                      <a:ext cx="5760000" cy="2380883"/>
                    </a:xfrm>
                    <a:prstGeom prst="rect"/>
                  </pic:spPr>
                </pic:pic>
              </a:graphicData>
            </a:graphic>
          </wp:inline>
        </w:drawing>
      </w:r>
    </w:p>
    <w:p>
      <w:r>
        <w:drawing>
          <wp:inline xmlns:a="http://schemas.openxmlformats.org/drawingml/2006/main" xmlns:pic="http://schemas.openxmlformats.org/drawingml/2006/picture">
            <wp:extent cx="5760000" cy="2383066"/>
            <wp:docPr id="5" name="Picture 5"/>
            <wp:cNvGraphicFramePr>
              <a:graphicFrameLocks noChangeAspect="1"/>
            </wp:cNvGraphicFramePr>
            <a:graphic>
              <a:graphicData uri="http://schemas.openxmlformats.org/drawingml/2006/picture">
                <pic:pic>
                  <pic:nvPicPr>
                    <pic:cNvPr id="0" name="perfil_mie_000017-07.png"/>
                    <pic:cNvPicPr/>
                  </pic:nvPicPr>
                  <pic:blipFill>
                    <a:blip r:embed="rId14"/>
                    <a:stretch>
                      <a:fillRect/>
                    </a:stretch>
                  </pic:blipFill>
                  <pic:spPr>
                    <a:xfrm>
                      <a:off x="0" y="0"/>
                      <a:ext cx="5760000" cy="2383066"/>
                    </a:xfrm>
                    <a:prstGeom prst="rect"/>
                  </pic:spPr>
                </pic:pic>
              </a:graphicData>
            </a:graphic>
          </wp:inline>
        </w:drawing>
      </w:r>
    </w:p>
    <w:p>
      <w:pPr>
        <w:pStyle w:val="Heading2"/>
      </w:pPr>
      <w:r>
        <w:t>Esc. Lo Velásquez</w:t>
      </w:r>
    </w:p>
    <w:p>
      <w:r>
        <w:t>Sin WES (17–19 ago): 13,3 m³ (lun 4,9 / mar 5,9 / mié-corte 2,5). Mejor semana con WES: 20/07–26/07 con 8,7 m³ (ahorro 4,6 m³; 34,3 %). Mediana con WES: 13 m³ (2 %).</w:t>
      </w:r>
    </w:p>
    <w:p>
      <w:r>
        <w:drawing>
          <wp:inline xmlns:a="http://schemas.openxmlformats.org/drawingml/2006/main" xmlns:pic="http://schemas.openxmlformats.org/drawingml/2006/picture">
            <wp:extent cx="5760000" cy="2379602"/>
            <wp:docPr id="6" name="Picture 6"/>
            <wp:cNvGraphicFramePr>
              <a:graphicFrameLocks noChangeAspect="1"/>
            </wp:cNvGraphicFramePr>
            <a:graphic>
              <a:graphicData uri="http://schemas.openxmlformats.org/drawingml/2006/picture">
                <pic:pic>
                  <pic:nvPicPr>
                    <pic:cNvPr id="0" name="barras_000017-04.png"/>
                    <pic:cNvPicPr/>
                  </pic:nvPicPr>
                  <pic:blipFill>
                    <a:blip r:embed="rId15"/>
                    <a:stretch>
                      <a:fillRect/>
                    </a:stretch>
                  </pic:blipFill>
                  <pic:spPr>
                    <a:xfrm>
                      <a:off x="0" y="0"/>
                      <a:ext cx="5760000" cy="2379602"/>
                    </a:xfrm>
                    <a:prstGeom prst="rect"/>
                  </pic:spPr>
                </pic:pic>
              </a:graphicData>
            </a:graphic>
          </wp:inline>
        </w:drawing>
      </w:r>
    </w:p>
    <w:p>
      <w:r>
        <w:drawing>
          <wp:inline xmlns:a="http://schemas.openxmlformats.org/drawingml/2006/main" xmlns:pic="http://schemas.openxmlformats.org/drawingml/2006/picture">
            <wp:extent cx="5760000" cy="2380883"/>
            <wp:docPr id="7" name="Picture 7"/>
            <wp:cNvGraphicFramePr>
              <a:graphicFrameLocks noChangeAspect="1"/>
            </wp:cNvGraphicFramePr>
            <a:graphic>
              <a:graphicData uri="http://schemas.openxmlformats.org/drawingml/2006/picture">
                <pic:pic>
                  <pic:nvPicPr>
                    <pic:cNvPr id="0" name="pct_000017-04.png"/>
                    <pic:cNvPicPr/>
                  </pic:nvPicPr>
                  <pic:blipFill>
                    <a:blip r:embed="rId16"/>
                    <a:stretch>
                      <a:fillRect/>
                    </a:stretch>
                  </pic:blipFill>
                  <pic:spPr>
                    <a:xfrm>
                      <a:off x="0" y="0"/>
                      <a:ext cx="5760000" cy="2380883"/>
                    </a:xfrm>
                    <a:prstGeom prst="rect"/>
                  </pic:spPr>
                </pic:pic>
              </a:graphicData>
            </a:graphic>
          </wp:inline>
        </w:drawing>
      </w:r>
    </w:p>
    <w:p>
      <w:r>
        <w:drawing>
          <wp:inline xmlns:a="http://schemas.openxmlformats.org/drawingml/2006/main" xmlns:pic="http://schemas.openxmlformats.org/drawingml/2006/picture">
            <wp:extent cx="5760000" cy="2383066"/>
            <wp:docPr id="8" name="Picture 8"/>
            <wp:cNvGraphicFramePr>
              <a:graphicFrameLocks noChangeAspect="1"/>
            </wp:cNvGraphicFramePr>
            <a:graphic>
              <a:graphicData uri="http://schemas.openxmlformats.org/drawingml/2006/picture">
                <pic:pic>
                  <pic:nvPicPr>
                    <pic:cNvPr id="0" name="perfil_mie_000017-04.png"/>
                    <pic:cNvPicPr/>
                  </pic:nvPicPr>
                  <pic:blipFill>
                    <a:blip r:embed="rId17"/>
                    <a:stretch>
                      <a:fillRect/>
                    </a:stretch>
                  </pic:blipFill>
                  <pic:spPr>
                    <a:xfrm>
                      <a:off x="0" y="0"/>
                      <a:ext cx="5760000" cy="2383066"/>
                    </a:xfrm>
                    <a:prstGeom prst="rect"/>
                  </pic:spPr>
                </pic:pic>
              </a:graphicData>
            </a:graphic>
          </wp:inline>
        </w:drawing>
      </w:r>
    </w:p>
    <w:p>
      <w:pPr>
        <w:pStyle w:val="Heading2"/>
      </w:pPr>
      <w:r>
        <w:t>Gimnasio municipal</w:t>
      </w:r>
    </w:p>
    <w:p>
      <w:r>
        <w:t>Sin WES (17–19 ago): 15,6 m³ (lun 8 / mar 5,6 / mié-corte 2). Mejor semana con WES: 18/05–24/05 con 2,4 m³ (ahorro 13,2 m³; 84,6 %). Mediana con WES: 3,9 m³ (75 %).</w:t>
      </w:r>
    </w:p>
    <w:p>
      <w:r>
        <w:drawing>
          <wp:inline xmlns:a="http://schemas.openxmlformats.org/drawingml/2006/main" xmlns:pic="http://schemas.openxmlformats.org/drawingml/2006/picture">
            <wp:extent cx="5760000" cy="2379602"/>
            <wp:docPr id="9" name="Picture 9"/>
            <wp:cNvGraphicFramePr>
              <a:graphicFrameLocks noChangeAspect="1"/>
            </wp:cNvGraphicFramePr>
            <a:graphic>
              <a:graphicData uri="http://schemas.openxmlformats.org/drawingml/2006/picture">
                <pic:pic>
                  <pic:nvPicPr>
                    <pic:cNvPr id="0" name="barras_000017-05.png"/>
                    <pic:cNvPicPr/>
                  </pic:nvPicPr>
                  <pic:blipFill>
                    <a:blip r:embed="rId18"/>
                    <a:stretch>
                      <a:fillRect/>
                    </a:stretch>
                  </pic:blipFill>
                  <pic:spPr>
                    <a:xfrm>
                      <a:off x="0" y="0"/>
                      <a:ext cx="5760000" cy="2379602"/>
                    </a:xfrm>
                    <a:prstGeom prst="rect"/>
                  </pic:spPr>
                </pic:pic>
              </a:graphicData>
            </a:graphic>
          </wp:inline>
        </w:drawing>
      </w:r>
    </w:p>
    <w:p>
      <w:r>
        <w:drawing>
          <wp:inline xmlns:a="http://schemas.openxmlformats.org/drawingml/2006/main" xmlns:pic="http://schemas.openxmlformats.org/drawingml/2006/picture">
            <wp:extent cx="5760000" cy="2380883"/>
            <wp:docPr id="10" name="Picture 10"/>
            <wp:cNvGraphicFramePr>
              <a:graphicFrameLocks noChangeAspect="1"/>
            </wp:cNvGraphicFramePr>
            <a:graphic>
              <a:graphicData uri="http://schemas.openxmlformats.org/drawingml/2006/picture">
                <pic:pic>
                  <pic:nvPicPr>
                    <pic:cNvPr id="0" name="pct_000017-05.png"/>
                    <pic:cNvPicPr/>
                  </pic:nvPicPr>
                  <pic:blipFill>
                    <a:blip r:embed="rId19"/>
                    <a:stretch>
                      <a:fillRect/>
                    </a:stretch>
                  </pic:blipFill>
                  <pic:spPr>
                    <a:xfrm>
                      <a:off x="0" y="0"/>
                      <a:ext cx="5760000" cy="2380883"/>
                    </a:xfrm>
                    <a:prstGeom prst="rect"/>
                  </pic:spPr>
                </pic:pic>
              </a:graphicData>
            </a:graphic>
          </wp:inline>
        </w:drawing>
      </w:r>
    </w:p>
    <w:p>
      <w:r>
        <w:drawing>
          <wp:inline xmlns:a="http://schemas.openxmlformats.org/drawingml/2006/main" xmlns:pic="http://schemas.openxmlformats.org/drawingml/2006/picture">
            <wp:extent cx="5760000" cy="2384596"/>
            <wp:docPr id="11" name="Picture 11"/>
            <wp:cNvGraphicFramePr>
              <a:graphicFrameLocks noChangeAspect="1"/>
            </wp:cNvGraphicFramePr>
            <a:graphic>
              <a:graphicData uri="http://schemas.openxmlformats.org/drawingml/2006/picture">
                <pic:pic>
                  <pic:nvPicPr>
                    <pic:cNvPr id="0" name="perfil_mie_000017-05.png"/>
                    <pic:cNvPicPr/>
                  </pic:nvPicPr>
                  <pic:blipFill>
                    <a:blip r:embed="rId20"/>
                    <a:stretch>
                      <a:fillRect/>
                    </a:stretch>
                  </pic:blipFill>
                  <pic:spPr>
                    <a:xfrm>
                      <a:off x="0" y="0"/>
                      <a:ext cx="5760000" cy="2384596"/>
                    </a:xfrm>
                    <a:prstGeom prst="rect"/>
                  </pic:spPr>
                </pic:pic>
              </a:graphicData>
            </a:graphic>
          </wp:inline>
        </w:drawing>
      </w:r>
    </w:p>
    <w:p>
      <w:pPr>
        <w:pStyle w:val="Heading2"/>
      </w:pPr>
      <w:r>
        <w:t>Piscina municipal</w:t>
      </w:r>
    </w:p>
    <w:p>
      <w:r>
        <w:t>Sin WES (17–19 ago): 145,5 m³ (lun 56,1 / mar 58,5 / mié-corte 30,8). Mejor semana con WES: 27/07–02/08 con 71,3 m³ (ahorro 74,1 m³; 51 %). Mediana con WES: 101,6 m³ (30,1 %).</w:t>
      </w:r>
    </w:p>
    <w:p>
      <w:r>
        <w:drawing>
          <wp:inline xmlns:a="http://schemas.openxmlformats.org/drawingml/2006/main" xmlns:pic="http://schemas.openxmlformats.org/drawingml/2006/picture">
            <wp:extent cx="5760000" cy="2379602"/>
            <wp:docPr id="12" name="Picture 12"/>
            <wp:cNvGraphicFramePr>
              <a:graphicFrameLocks noChangeAspect="1"/>
            </wp:cNvGraphicFramePr>
            <a:graphic>
              <a:graphicData uri="http://schemas.openxmlformats.org/drawingml/2006/picture">
                <pic:pic>
                  <pic:nvPicPr>
                    <pic:cNvPr id="0" name="barras_000017-06.png"/>
                    <pic:cNvPicPr/>
                  </pic:nvPicPr>
                  <pic:blipFill>
                    <a:blip r:embed="rId21"/>
                    <a:stretch>
                      <a:fillRect/>
                    </a:stretch>
                  </pic:blipFill>
                  <pic:spPr>
                    <a:xfrm>
                      <a:off x="0" y="0"/>
                      <a:ext cx="5760000" cy="2379602"/>
                    </a:xfrm>
                    <a:prstGeom prst="rect"/>
                  </pic:spPr>
                </pic:pic>
              </a:graphicData>
            </a:graphic>
          </wp:inline>
        </w:drawing>
      </w:r>
    </w:p>
    <w:p>
      <w:r>
        <w:drawing>
          <wp:inline xmlns:a="http://schemas.openxmlformats.org/drawingml/2006/main" xmlns:pic="http://schemas.openxmlformats.org/drawingml/2006/picture">
            <wp:extent cx="5760000" cy="2380883"/>
            <wp:docPr id="13" name="Picture 13"/>
            <wp:cNvGraphicFramePr>
              <a:graphicFrameLocks noChangeAspect="1"/>
            </wp:cNvGraphicFramePr>
            <a:graphic>
              <a:graphicData uri="http://schemas.openxmlformats.org/drawingml/2006/picture">
                <pic:pic>
                  <pic:nvPicPr>
                    <pic:cNvPr id="0" name="pct_000017-06.png"/>
                    <pic:cNvPicPr/>
                  </pic:nvPicPr>
                  <pic:blipFill>
                    <a:blip r:embed="rId22"/>
                    <a:stretch>
                      <a:fillRect/>
                    </a:stretch>
                  </pic:blipFill>
                  <pic:spPr>
                    <a:xfrm>
                      <a:off x="0" y="0"/>
                      <a:ext cx="5760000" cy="2380883"/>
                    </a:xfrm>
                    <a:prstGeom prst="rect"/>
                  </pic:spPr>
                </pic:pic>
              </a:graphicData>
            </a:graphic>
          </wp:inline>
        </w:drawing>
      </w:r>
    </w:p>
    <w:p>
      <w:r>
        <w:drawing>
          <wp:inline xmlns:a="http://schemas.openxmlformats.org/drawingml/2006/main" xmlns:pic="http://schemas.openxmlformats.org/drawingml/2006/picture">
            <wp:extent cx="5760000" cy="2383066"/>
            <wp:docPr id="14" name="Picture 14"/>
            <wp:cNvGraphicFramePr>
              <a:graphicFrameLocks noChangeAspect="1"/>
            </wp:cNvGraphicFramePr>
            <a:graphic>
              <a:graphicData uri="http://schemas.openxmlformats.org/drawingml/2006/picture">
                <pic:pic>
                  <pic:nvPicPr>
                    <pic:cNvPr id="0" name="perfil_mie_000017-06.png"/>
                    <pic:cNvPicPr/>
                  </pic:nvPicPr>
                  <pic:blipFill>
                    <a:blip r:embed="rId23"/>
                    <a:stretch>
                      <a:fillRect/>
                    </a:stretch>
                  </pic:blipFill>
                  <pic:spPr>
                    <a:xfrm>
                      <a:off x="0" y="0"/>
                      <a:ext cx="5760000" cy="2383066"/>
                    </a:xfrm>
                    <a:prstGeom prst="rect"/>
                  </pic:spPr>
                </pic:pic>
              </a:graphicData>
            </a:graphic>
          </wp:inline>
        </w:drawing>
      </w:r>
    </w:p>
    <w:p>
      <w:pPr>
        <w:pStyle w:val="Heading1"/>
      </w:pPr>
      <w:r>
        <w:t>7. Serie diaria mayo–agosto</w:t>
      </w:r>
    </w:p>
    <w:p>
      <w:r>
        <w:t>La banda roja marca el periodo sin control (desde el lunes 17/08). Piscina y gimnasio dominan el volumen; escuela e ICCP tienen consumos menores y más estables.</w:t>
      </w:r>
    </w:p>
    <w:p>
      <w:r>
        <w:drawing>
          <wp:inline xmlns:a="http://schemas.openxmlformats.org/drawingml/2006/main" xmlns:pic="http://schemas.openxmlformats.org/drawingml/2006/picture">
            <wp:extent cx="5832000" cy="3262122"/>
            <wp:docPr id="15" name="Picture 15"/>
            <wp:cNvGraphicFramePr>
              <a:graphicFrameLocks noChangeAspect="1"/>
            </wp:cNvGraphicFramePr>
            <a:graphic>
              <a:graphicData uri="http://schemas.openxmlformats.org/drawingml/2006/picture">
                <pic:pic>
                  <pic:nvPicPr>
                    <pic:cNvPr id="0" name="serie_diaria.png"/>
                    <pic:cNvPicPr/>
                  </pic:nvPicPr>
                  <pic:blipFill>
                    <a:blip r:embed="rId24"/>
                    <a:stretch>
                      <a:fillRect/>
                    </a:stretch>
                  </pic:blipFill>
                  <pic:spPr>
                    <a:xfrm>
                      <a:off x="0" y="0"/>
                      <a:ext cx="5832000" cy="3262122"/>
                    </a:xfrm>
                    <a:prstGeom prst="rect"/>
                  </pic:spPr>
                </pic:pic>
              </a:graphicData>
            </a:graphic>
          </wp:inline>
        </w:drawing>
      </w:r>
    </w:p>
    <w:p>
      <w:pPr>
        <w:pStyle w:val="Heading1"/>
      </w:pPr>
      <w:r>
        <w:t>8. Lectura operativa</w:t>
      </w:r>
    </w:p>
    <w:p>
      <w:pPr>
        <w:pStyle w:val="ListBullet"/>
      </w:pPr>
      <w:r>
        <w:t>La comparación es de 61 horas equivalentes, no de una semana calendario completa (el periodo sin WES aún no cierra el domingo 23/08).</w:t>
      </w:r>
    </w:p>
    <w:p>
      <w:pPr>
        <w:pStyle w:val="ListBullet"/>
      </w:pPr>
      <w:r>
        <w:t>La semana 15–21 jun (piscina en 0 m³) y 22 jun–5 jul (escuela en 0 m³) se marcan como receso: no se cuentan como el mejor rendimiento WES.</w:t>
      </w:r>
    </w:p>
    <w:p>
      <w:pPr>
        <w:pStyle w:val="ListBullet"/>
      </w:pPr>
      <w:r>
        <w:t>Piscina: con WES en agosto venía ~31 m³/día; el lunes 17 y martes 18 sin control subió a 56 y 58 m³/día (nivel similar a mayo). Ese es el mayor volumen perdido.</w:t>
      </w:r>
    </w:p>
    <w:p>
      <w:pPr>
        <w:pStyle w:val="ListBullet"/>
      </w:pPr>
      <w:r>
        <w:t>ICCP: lun–mar con WES ~16 m³/día; sin WES ~21 m³/día.</w:t>
      </w:r>
    </w:p>
    <w:p>
      <w:pPr>
        <w:pStyle w:val="ListBullet"/>
      </w:pPr>
      <w:r>
        <w:t>Escuela Lo Velásquez y gimnasio: en esta ventana el consumo sin WES no supera de forma clara la semana previa con control; el ahorro conjunto lo arrastran piscina e ICCP.</w:t>
      </w:r>
    </w:p>
    <w:p>
      <w:pPr>
        <w:pStyle w:val="ListBullet"/>
      </w:pPr>
      <w:r>
        <w:t>Cuando se complete la semana 17–23 ago conviene repetir el cruce lun–dom contra lun–dom.</w:t>
      </w:r>
    </w:p>
    <w:p>
      <w:pPr>
        <w:pStyle w:val="ListBullet"/>
      </w:pPr>
      <w:r>
        <w:t>Tarifa usada para CLP: $1.300 / m³ (referencial).</w:t>
      </w:r>
    </w:p>
    <w:p>
      <w:pPr>
        <w:pStyle w:val="Heading1"/>
      </w:pPr>
      <w:r>
        <w:t>9. Respuesta directa</w:t>
      </w:r>
    </w:p>
    <w:p>
      <w:r>
        <w:t>• Semana de mayor rendimiento operativo conjunto (4 puntos, sin receso de piscina): 13/07–19/07 (44,5 %; 101,2 m³ en la ventana homóloga vs el periodo actual sin WES).</w:t>
      </w:r>
    </w:p>
    <w:p>
      <w:r>
        <w:t>• Comparación de temporada (la más justa): 10–16 ago CON WES vs 17–19 ago SIN WES → 34,3 % a favor del control (77,9 m³ en 61 h).</w:t>
      </w:r>
    </w:p>
    <w:p>
      <w:r>
        <w:t>• ICCP (Cumbre de Cóndores pte.): mejor semana 11/05–17/05 (55,2 %; 29,3 m³).</w:t>
      </w:r>
    </w:p>
    <w:p>
      <w:r>
        <w:t>• Esc. Lo Velásquez: mejor semana 20/07–26/07 (34,3 %; 4,6 m³).</w:t>
      </w:r>
    </w:p>
    <w:p>
      <w:r>
        <w:t>• Gimnasio municipal: mejor semana 18/05–24/05 (84,6 %; 13,2 m³).</w:t>
      </w:r>
    </w:p>
    <w:p>
      <w:r>
        <w:t>• Piscina municipal: mejor semana 27/07–02/08 (51 %; 74,1 m³).</w:t>
      </w:r>
    </w:p>
    <w:p>
      <w:r>
        <w:t>• Esta ventana CON WES genera más ahorro que la misma ventana SIN WES: el lunes 17 y martes 18 ya superan el ritmo de la semana previa con equipos activos (sobre todo piscina e ICCP).</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