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2"/>
        </w:rPr>
        <w:t>Fundo Zapallar — Consumo Estanque Inferior</w:t>
        <w:br/>
        <w:t>misma ventana de validación Matriz ESVAL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Ventana de validación Matriz ESVAL (Itron vs App, §4.2): 22-09-2026 15:00 → 23-09-2026 17:00 (Chile). Horas app: 22-09 h16→23 + 23-09 h00→16. Misma metodología CSV TIME del informe Matriz. Comparación solo Matriz ESVAL vs Estanque Inferior.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1. Totales en la ventana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Estanque Inferior: 150,80 m³ (86,0 % de Matriz App; diferencia 24,61 m³).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Punto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Nodo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Consumo ventana (m³)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Matriz ESVAL (App)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000027-01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175,41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Matriz ESVAL (Itron)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000027-01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170,89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Estanque Inferior (App)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000027-02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150,80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72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tales_validacion_20260925_16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7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2. Gráfico horario Matriz vs Estanque Inferior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rario_matriz_vs_inferior_20260925_16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3. Tabla horaria comparativa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18"/>
              </w:rPr>
              <w:t>Etiqueta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18"/>
              </w:rPr>
              <w:t>Hora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18"/>
              </w:rPr>
              <w:t>Matriz (m³)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18"/>
              </w:rPr>
              <w:t>Inferior (m³)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18"/>
              </w:rPr>
              <w:t>Dif M−I (m³)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22/16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16:00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3,31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1,20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2,11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22/17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17:00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11,88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11,58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0,30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22/18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18:00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9,13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6,74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2,39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22/19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19:00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3,43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1,87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1,56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22/20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20:00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0,25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0,25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22/21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21:00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0,22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0,22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22/22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22:00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2,64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4,03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-1,39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22/23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16,99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14,93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2,06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00:00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2,81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2,81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23/01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01:00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0,54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0,54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23/02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02:00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16,64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16,94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-0,30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23/03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03:00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14,79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12,47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2,32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23/04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04:00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0,29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0,29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23/05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05:00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12,67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13,21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-0,54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06:00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6,87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5,10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1,77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07:00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1,00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1,00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23/08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08:00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0,65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0,65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09:00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12,11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12,85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-0,74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10:00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8,13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5,88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2,25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23/11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11:00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0,60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0,60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23/12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12:00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18,79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17,81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0,98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23/13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13:00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13,02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10,70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2,32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23/14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14:00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0,50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0,26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0,24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23/15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15:00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17,53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15,23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2,30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23/16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16:00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0,62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 w:val="0"/>
                <w:sz w:val="18"/>
              </w:rPr>
              <w:t>0,62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18"/>
              </w:rPr>
              <w:t>175,41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18"/>
              </w:rPr>
              <w:t>150,80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Calibri"/>
                <w:b/>
                <w:sz w:val="18"/>
              </w:rPr>
              <w:t>24,61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28"/>
        </w:rPr>
        <w:t>4. Conclusión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En la misma ventana de validación de Matriz ESVAL, el Estanque Inferior registró 150,80 m³ (App), frente a 175,41 m³ de Matriz App y 170,89 m³ de Itron.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