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-bold.ttf" ContentType="application/x-font-ttf"/>
  <Override PartName="/word/fonts/NotoSans-boldItalic.ttf" ContentType="application/x-font-ttf"/>
  <Override PartName="/word/fonts/NotoSans-italic.ttf" ContentType="application/x-font-ttf"/>
  <Override PartName="/word/fonts/No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.642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71600" cy="30416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04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.400009155273438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f4788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f4788"/>
          <w:sz w:val="36"/>
          <w:szCs w:val="36"/>
          <w:u w:val="none"/>
          <w:shd w:fill="auto" w:val="clear"/>
          <w:vertAlign w:val="baseline"/>
          <w:rtl w:val="0"/>
        </w:rPr>
        <w:t xml:space="preserve">Informe de validación — Matriz ESVAL · Fundo Zapallar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879638671875" w:line="240" w:lineRule="auto"/>
        <w:ind w:left="33.4600067138671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  <w:rtl w:val="0"/>
        </w:rPr>
        <w:t xml:space="preserve">Fundo Zapallar · Matriz ESVAL (000027-01) · Informe final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40185546875" w:line="240" w:lineRule="auto"/>
        <w:ind w:left="15.999984741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</w:rPr>
      </w:pPr>
      <w:r>
        <w:rPr>
          <w:rFonts w:ascii="Calibri" w:hAnsi="Calibri" w:eastAsia="Calibri"/>
          <w:b w:val="0"/>
          <w:color w:val="646E78"/>
          <w:sz w:val="20"/>
        </w:rPr>
        <w:t>Validación: 22-09-2026 15:00 → 28-09-2026 09:05</w:t>
      </w:r>
    </w:p>
    <w:tbl>
      <w:tblPr>
        <w:tblStyle w:val="Table1"/>
        <w:tblW w:w="10086.000213623047" w:type="dxa"/>
        <w:jc w:val="left"/>
        <w:tblInd w:w="5.0" w:type="dxa"/>
        <w:tblLayout w:type="fixed"/>
        <w:tblLook w:val="060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361.999969482422"/>
        <w:gridCol w:w="3362.0001220703125"/>
        <w:gridCol w:w="3362.0001220703125"/>
        <w:tblGridChange w:id="0">
          <w:tblGrid>
            <w:gridCol w:w="3361.999969482422"/>
            <w:gridCol w:w="3362.0001220703125"/>
            <w:gridCol w:w="3362.0001220703125"/>
          </w:tblGrid>
        </w:tblGridChange>
      </w:tblGrid>
      <w:tr>
        <w:trPr>
          <w:cantSplit w:val="0"/>
          <w:trHeight w:val="334.0002441406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1F4788" w:val="clear" w:color="auto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Itron vs app WES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1F4788" w:val="clear" w:color="auto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Lecturas Itron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1F4788" w:val="clear" w:color="auto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Config. final</w:t>
            </w:r>
          </w:p>
        </w:tc>
      </w:tr>
      <w:tr>
        <w:trPr>
          <w:cantSplit w:val="0"/>
          <w:trHeight w:val="824.0002441406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E8F5E9" w:val="clear" w:color="auto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Error 3.5 %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758,49 / 785,88 m³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E8F5E9" w:val="clear" w:color="auto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383.978 → 384.736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Δ 758,49 m³ · 22→28/09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E8F5E9" w:val="clear" w:color="auto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.0493869781494" w:lineRule="auto"/>
              <w:ind w:left="144.9200439453125" w:right="108.84033203125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Ø 127 mm · mortero 3 mm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M45 tope 1,5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5199890136718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  <w:rtl w:val="0"/>
        </w:rPr>
        <w:t xml:space="preserve">1. Objetivo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40478515625" w:line="272.61817932128906" w:lineRule="auto"/>
        <w:ind w:left="33.379974365234375" w:right="5.941162109375" w:firstLine="3.96003723144531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Documentar las acciones realizadas en terreno sobre el medidor ultrasónico de Matriz ESVAL ante un desvío respecto del medidor de turbina Itron de ESVAL, y presentar el cálculo de validación del periodo revisado.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359619140625" w:line="240" w:lineRule="auto"/>
        <w:ind w:left="26.64001464843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  <w:rtl w:val="0"/>
        </w:rPr>
        <w:t xml:space="preserve">2. Resumen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398681640625" w:line="272.61817932128906" w:lineRule="auto"/>
        <w:ind w:left="15.999984741210938" w:right="9.46533203125" w:firstLine="21.3400268554687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hAnsi="Calibri" w:eastAsia="Calibri"/>
          <w:b w:val="0"/>
          <w:color w:val="282828"/>
          <w:sz w:val="21"/>
        </w:rPr>
        <w:t>La calidad de señal (DN/UP y Q) estaba dentro del umbral del fabricante. Tras limpieza, silicona, corrección de diámetro/mortero y factor de escala, la validación única 22–28/09 da error 3.5% (Itron 758,49 m³ vs app 785,88 m³), aceptable.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3602294921875" w:line="240" w:lineRule="auto"/>
        <w:ind w:left="26.64001464843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  <w:rtl w:val="0"/>
        </w:rPr>
        <w:t xml:space="preserve">3. Actividades realizadas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393798828125" w:line="240" w:lineRule="auto"/>
        <w:ind w:left="25.12001037597656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3.1 Calidad de señal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200439453125" w:line="272.61817932128906" w:lineRule="auto"/>
        <w:ind w:left="27.220001220703125" w:right="5.062255859375" w:firstLine="10.120010375976562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En el menú de diagnóstico se evaluó la calidad de señal entre transductores (DN/UP) y la calidad de sonido (Q). Ambos valores iniciales superaban el umbral del fabricante (&gt; 60). </w:t>
      </w:r>
    </w:p>
    <w:tbl>
      <w:tblPr>
        <w:tblStyle w:val="Table2"/>
        <w:tblW w:w="10083.999481201172" w:type="dxa"/>
        <w:jc w:val="left"/>
        <w:tblInd w:w="5.0" w:type="dxa"/>
        <w:tblLayout w:type="fixed"/>
        <w:tblLook w:val="060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21.999969482422"/>
        <w:gridCol w:w="2520"/>
        <w:gridCol w:w="2522.0001220703125"/>
        <w:gridCol w:w="2519.9993896484375"/>
        <w:tblGridChange w:id="0">
          <w:tblGrid>
            <w:gridCol w:w="2521.999969482422"/>
            <w:gridCol w:w="2520"/>
            <w:gridCol w:w="2522.0001220703125"/>
            <w:gridCol w:w="2519.9993896484375"/>
          </w:tblGrid>
        </w:tblGridChange>
      </w:tblGrid>
      <w:tr>
        <w:trPr>
          <w:cantSplit w:val="0"/>
          <w:trHeight w:val="333.99963378906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1F4788" w:val="clear" w:color="auto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Parámetro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1F4788" w:val="clear" w:color="auto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Inicial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1F4788" w:val="clear" w:color="auto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Tras limpieza + silicona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1F4788" w:val="clear" w:color="auto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Recomendación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 w:color="auto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300231933593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DN / UP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 w:color="auto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76.7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 w:color="auto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80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 w:color="auto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&gt; 60</w:t>
            </w:r>
          </w:p>
        </w:tc>
      </w:tr>
      <w:tr>
        <w:trPr>
          <w:cantSplit w:val="0"/>
          <w:trHeight w:val="348.00018310546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5F8FB" w:val="clear" w:color="auto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89965820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5F8FB" w:val="clear" w:color="auto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93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5F8FB" w:val="clear" w:color="auto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96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5F8FB" w:val="clear" w:color="auto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&gt; 60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12001037597656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3.2 Comparación inicial por pulso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200439453125" w:line="272.61817932128906" w:lineRule="auto"/>
        <w:ind w:left="28.0999755859375" w:right="4.620361328125" w:hanging="0.879974365234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Se contrastó el volumen del ultrasónico WES contra el medidor de turbina Itron (referencia ESVAL) en la misma ventana de prueba.</w:t>
      </w:r>
    </w:p>
    <w:tbl>
      <w:tblPr>
        <w:tblStyle w:val="Table3"/>
        <w:tblW w:w="10086.000213623047" w:type="dxa"/>
        <w:jc w:val="left"/>
        <w:tblInd w:w="5.0" w:type="dxa"/>
        <w:tblLayout w:type="fixed"/>
        <w:tblLook w:val="060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361.999969482422"/>
        <w:gridCol w:w="3362.0001220703125"/>
        <w:gridCol w:w="3362.0001220703125"/>
        <w:tblGridChange w:id="0">
          <w:tblGrid>
            <w:gridCol w:w="3361.999969482422"/>
            <w:gridCol w:w="3362.0001220703125"/>
            <w:gridCol w:w="3362.0001220703125"/>
          </w:tblGrid>
        </w:tblGridChange>
      </w:tblGrid>
      <w:tr>
        <w:trPr>
          <w:cantSplit w:val="0"/>
          <w:trHeight w:val="334.0000915527344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1F4788" w:val="clear" w:color="auto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Equipo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1F4788" w:val="clear" w:color="auto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Volumen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1F4788" w:val="clear" w:color="auto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 w:color="auto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9996032714844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Itron / ESVAL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 w:color="auto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230 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 w:color="auto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Referencia</w:t>
            </w:r>
          </w:p>
        </w:tc>
      </w:tr>
      <w:tr>
        <w:trPr>
          <w:cantSplit w:val="0"/>
          <w:trHeight w:val="348.000030517578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5F8FB" w:val="clear" w:color="auto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999298095703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Ultrasónico WES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5F8FB" w:val="clear" w:color="auto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100 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5F8FB" w:val="clear" w:color="auto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Misma ventana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 w:color="auto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999298095703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Diferencia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 w:color="auto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130 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 w:color="auto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Desvío relevante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339" w:top="719" w:left="1063" w:right="106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99951171875" w:line="240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3.3 Continuidad de cables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39" w:top="719" w:left="1088" w:right="1076" w:header="0" w:footer="720"/>
          <w:cols w:equalWidth="0" w:num="2">
            <w:col w:space="0" w:w="5040"/>
            <w:col w:space="0" w:w="5040"/>
          </w:cols>
        </w:sect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371600" cy="30416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04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006591796875" w:line="272.61817932128906" w:lineRule="auto"/>
        <w:ind w:left="28.0999755859375" w:right="24.86083984375" w:hanging="0.879974365234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Se verificó la continuidad eléctrica de los cables de los transductores. Resultado: correcta. No explica el desvío de volumen.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361328125" w:line="240" w:lineRule="auto"/>
        <w:ind w:left="25.12001037597656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3.4 Limpieza de tubería y silicona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1943359375" w:line="272.61817932128906" w:lineRule="auto"/>
        <w:ind w:left="28.0999755859375" w:right="11.4404296875" w:hanging="12.099990844726562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Antes de renovar la silicona se limpió la superficie de la tubería en la zona de los transductores. Tras el cambio de silicona mejoraron DN/UP y Q, pero no se resolvió la discrepancia volumétrica.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3603515625" w:line="240" w:lineRule="auto"/>
        <w:ind w:left="28.0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DN / UP: 76.7 80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259765625" w:line="240" w:lineRule="auto"/>
        <w:ind w:left="28.0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Q: 93 96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2607421875" w:line="240" w:lineRule="auto"/>
        <w:ind w:left="25.12001037597656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3.5 Configuración de cañería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1943359375" w:line="464.36001777648926" w:lineRule="auto"/>
        <w:ind w:left="28.0999755859375" w:right="1431.7620849609375" w:hanging="0.879974365234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Se revisó el material en obra y se contrastó con la información de la sanitaria ESVAL.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Marcado físico: EN545 / DN100 / PN16 (Fierro dúctil (EN545)).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963134765625" w:line="240" w:lineRule="auto"/>
        <w:ind w:left="28.0999755859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Diámetro según ESVAL: 118 mm (estaba en 110 mm).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259765625" w:line="240" w:lineRule="auto"/>
        <w:ind w:left="28.0999755859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Lining: mortero inyectado — menú de cobertura con espesor 3 mm.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260009765625" w:line="456.1812400817871" w:lineRule="auto"/>
        <w:ind w:left="25.120010375976562" w:right="1678.8232421875" w:hanging="6.920013427734375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Tras aplicar 118 mm + mortero 3 mm, la diferencia bajó a aproximadamente 40 L.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3.6 Factor de escala M45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28.0999755859375" w:right="12.98095703125" w:firstLine="1.320037841796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Con la prueba de 1 minuto (caudal turbina vs caudal ultrasónico menú 00) se calculó el nuevo factor de escala: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599853515625" w:line="240" w:lineRule="auto"/>
        <w:ind w:left="37.3400115966796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Nuevo M45 = 0,5934 × (460 / 87,05) = 3,1362.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598876953125" w:line="456.1812400817871" w:lineRule="auto"/>
        <w:ind w:left="25.120010375976562" w:right="212.742919921875" w:firstLine="12.220001220703125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El valor calculado supera el máximo del equipo (1,5). Se seteó el tope. La diferencia bajó a ~30 L.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3.7 Ajuste final de diámetro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26.1199951171875" w:right="12.32421875" w:firstLine="1.100006103515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Según recomendación del manual, se aumentó el diámetro un 8 %: 118 127 mm. Tras ese ajuste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ambos medidores quedaron en el mismo ciclo de lectura en terreno.</w:t>
      </w:r>
    </w:p>
    <w:tbl>
      <w:tblPr>
        <w:tblStyle w:val="Table4"/>
        <w:tblW w:w="10086.000213623047" w:type="dxa"/>
        <w:jc w:val="left"/>
        <w:tblInd w:w="5.0" w:type="dxa"/>
        <w:tblLayout w:type="fixed"/>
        <w:tblLook w:val="060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361.999969482422"/>
        <w:gridCol w:w="3362.0001220703125"/>
        <w:gridCol w:w="3362.0001220703125"/>
        <w:tblGridChange w:id="0">
          <w:tblGrid>
            <w:gridCol w:w="3361.999969482422"/>
            <w:gridCol w:w="3362.0001220703125"/>
            <w:gridCol w:w="3362.0001220703125"/>
          </w:tblGrid>
        </w:tblGridChange>
      </w:tblGrid>
      <w:tr>
        <w:trPr>
          <w:cantSplit w:val="0"/>
          <w:trHeight w:val="336.000061035156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1F4788" w:val="clear" w:color="auto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Parámetro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1F4788" w:val="clear" w:color="auto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Antes / intermedio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1F4788" w:val="clear" w:color="auto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Final</w:t>
            </w:r>
          </w:p>
        </w:tc>
      </w:tr>
      <w:tr>
        <w:trPr>
          <w:cantSplit w:val="0"/>
          <w:trHeight w:val="347.9998779296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 w:color="auto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299621582031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Material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 w:color="auto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Sin validar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 w:color="auto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Fierro dúctil (EN545)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5F8FB" w:val="clear" w:color="auto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299621582031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Diámetro (mm)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5F8FB" w:val="clear" w:color="auto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110 118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→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5F8FB" w:val="clear" w:color="auto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127</w:t>
            </w:r>
          </w:p>
        </w:tc>
      </w:tr>
      <w:tr>
        <w:trPr>
          <w:cantSplit w:val="0"/>
          <w:trHeight w:val="348.00018310546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 w:color="auto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899047851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Cobertura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 w:color="auto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Sin mortero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 w:color="auto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Mortero 3 mm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5F8FB" w:val="clear" w:color="auto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299621582031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Factor M45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5F8FB" w:val="clear" w:color="auto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0,5934 calc. 3,1362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→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5F8FB" w:val="clear" w:color="auto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Tope 1,5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.642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71600" cy="30416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04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r>
        <w:br w:type="page"/>
      </w:r>
    </w:p>
    <w:p>
      <w:pPr>
        <w:keepNext/>
        <w:keepLines/>
      </w:pPr>
      <w:r>
        <w:rPr>
          <w:rFonts w:ascii="Calibri" w:hAnsi="Calibri" w:eastAsia="Calibri"/>
          <w:b/>
          <w:color w:val="1F4788"/>
          <w:sz w:val="28"/>
        </w:rPr>
        <w:t>4. Cálculo de validación</w:t>
      </w:r>
    </w:p>
    <w:p>
      <w:pPr>
        <w:keepNext/>
        <w:keepLines/>
      </w:pPr>
      <w:r>
        <w:rPr>
          <w:rFonts w:ascii="Calibri" w:hAnsi="Calibri" w:eastAsia="Calibri"/>
          <w:b/>
          <w:color w:val="1F4788"/>
          <w:sz w:val="24"/>
        </w:rPr>
        <w:t>4.1 Itron vs app WES (22-09 15:00 → 28-09 09:05)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4788"/>
          <w:left w:val="single" w:sz="4" w:space="0" w:color="1F4788"/>
          <w:bottom w:val="single" w:sz="4" w:space="0" w:color="1F4788"/>
          <w:right w:val="single" w:sz="4" w:space="0" w:color="1F4788"/>
          <w:insideH w:val="single" w:sz="4" w:space="0" w:color="1F4788"/>
          <w:insideV w:val="single" w:sz="4" w:space="0" w:color="1F4788"/>
        </w:tblBorders>
      </w:tblPr>
      <w:tblGrid>
        <w:gridCol w:w="3372"/>
        <w:gridCol w:w="3372"/>
        <w:gridCol w:w="3372"/>
      </w:tblGrid>
      <w:tr>
        <w:trPr>
          <w:cantSplit/>
          <w:tblHeader w:val="true"/>
        </w:trPr>
        <w:tc>
          <w:tcPr>
            <w:tcW w:type="dxa" w:w="3372"/>
            <w:shd w:fill="1F4788" w:val="clear" w:color="auto"/>
          </w:tcPr>
          <w:p>
            <w:pPr>
              <w:spacing w:before="0" w:after="20"/>
              <w:jc w:val="center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Itron vs app WES</w:t>
            </w:r>
          </w:p>
        </w:tc>
        <w:tc>
          <w:tcPr>
            <w:tcW w:type="dxa" w:w="3372"/>
            <w:shd w:fill="1F4788" w:val="clear" w:color="auto"/>
          </w:tcPr>
          <w:p>
            <w:pPr>
              <w:spacing w:before="0" w:after="20"/>
              <w:jc w:val="center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Lecturas Itron</w:t>
            </w:r>
          </w:p>
        </w:tc>
        <w:tc>
          <w:tcPr>
            <w:tcW w:type="dxa" w:w="3372"/>
            <w:shd w:fill="1F4788" w:val="clear" w:color="auto"/>
          </w:tcPr>
          <w:p>
            <w:pPr>
              <w:spacing w:before="0" w:after="20"/>
              <w:jc w:val="center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Ventana</w:t>
            </w:r>
          </w:p>
        </w:tc>
      </w:tr>
      <w:tr>
        <w:trPr>
          <w:cantSplit/>
          <w:tblHeader w:val="true"/>
        </w:trPr>
        <w:tc>
          <w:tcPr>
            <w:tcW w:type="dxa" w:w="3372"/>
            <w:shd w:fill="E8F5E9" w:val="clear" w:color="auto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Error 3.5 %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758,49 / 785,88 m³</w:t>
            </w:r>
          </w:p>
        </w:tc>
        <w:tc>
          <w:tcPr>
            <w:tcW w:type="dxa" w:w="3372"/>
            <w:shd w:fill="E8F5E9" w:val="clear" w:color="auto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383.978 → 384.736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Δ 758,49 m³</w:t>
            </w:r>
          </w:p>
        </w:tc>
        <w:tc>
          <w:tcPr>
            <w:tcW w:type="dxa" w:w="3372"/>
            <w:shd w:fill="E8F5E9" w:val="clear" w:color="auto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22 → 28/09/2026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137 horas app</w:t>
            </w:r>
          </w:p>
        </w:tc>
      </w:tr>
    </w:tbl>
    <w:p/>
    <w:p>
      <w:pPr>
        <w:keepNext/>
        <w:keepLines/>
      </w:pPr>
      <w:r>
        <w:rPr>
          <w:rFonts w:ascii="Calibri" w:hAnsi="Calibri" w:eastAsia="Calibri"/>
          <w:b w:val="0"/>
          <w:color w:val="282828"/>
          <w:sz w:val="21"/>
        </w:rPr>
        <w:t>Una sola validación con lecturas fotográficas del Itron y el consumo de la app WES (horas 16→23 del 22-09 + días 23–27 + horas 00→08 del 28-09).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5058"/>
        <w:gridCol w:w="5058"/>
      </w:tblGrid>
      <w:tr>
        <w:trPr>
          <w:cantSplit/>
          <w:tblHeader w:val="true"/>
        </w:trPr>
        <w:tc>
          <w:tcPr>
            <w:tcW w:type="dxa" w:w="5058"/>
            <w:shd w:fill="FAFBFC" w:val="clear" w:color="auto"/>
          </w:tcPr>
          <w:p>
            <w:pPr>
              <w:spacing w:before="0" w:after="20"/>
              <w:jc w:val="center"/>
              <w:keepNext/>
              <w:keepLines/>
            </w:pPr>
            <w:r>
              <w:drawing>
                <wp:inline>
                  <wp:extent cx="2743200" cy="3657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matriz_ini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58"/>
            <w:shd w:fill="FAFBFC" w:val="clear" w:color="auto"/>
          </w:tcPr>
          <w:p>
            <w:pPr>
              <w:spacing w:before="0" w:after="20"/>
              <w:jc w:val="center"/>
              <w:keepNext/>
              <w:keepLines/>
            </w:pPr>
            <w:r>
              <w:drawing>
                <wp:inline>
                  <wp:extent cx="2743200" cy="173805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matriz_fin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380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blHeader w:val="true"/>
        </w:trPr>
        <w:tc>
          <w:tcPr>
            <w:tcW w:type="dxa" w:w="5058"/>
            <w:shd w:fill="D6E3F0" w:val="clear" w:color="auto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/>
                <w:color w:val="1F4788"/>
                <w:sz w:val="18"/>
              </w:rPr>
              <w:t>Itron · 383.978,0 m³ · 22-09-2026 15:00</w:t>
            </w:r>
          </w:p>
        </w:tc>
        <w:tc>
          <w:tcPr>
            <w:tcW w:type="dxa" w:w="5058"/>
            <w:shd w:fill="D6E3F0" w:val="clear" w:color="auto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/>
                <w:color w:val="1F4788"/>
                <w:sz w:val="18"/>
              </w:rPr>
              <w:t>Itron · 384.736,5 m³ · 28-09-2026 09:05</w:t>
            </w:r>
          </w:p>
        </w:tc>
      </w:tr>
    </w:tbl>
    <w:p/>
    <w:p>
      <w:pPr>
        <w:keepNext/>
        <w:keepLines/>
      </w:pPr>
      <w:r>
        <w:rPr>
          <w:rFonts w:ascii="Calibri" w:hAnsi="Calibri" w:eastAsia="Calibri"/>
          <w:b/>
          <w:color w:val="1F4788"/>
          <w:sz w:val="20"/>
        </w:rPr>
        <w:t>Validación Matriz ESVAL — medidor Itron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45"/>
        <w:gridCol w:w="1445"/>
        <w:gridCol w:w="1445"/>
        <w:gridCol w:w="1445"/>
        <w:gridCol w:w="1445"/>
        <w:gridCol w:w="1445"/>
        <w:gridCol w:w="1445"/>
      </w:tblGrid>
      <w:tr>
        <w:trPr>
          <w:cantSplit/>
          <w:tblHeader w:val="true"/>
        </w:trPr>
        <w:tc>
          <w:tcPr>
            <w:tcW w:type="dxa" w:w="1445"/>
            <w:shd w:fill="1F4788" w:val="clear" w:color="auto"/>
          </w:tcPr>
          <w:p>
            <w:pPr>
              <w:spacing w:before="0" w:after="20"/>
              <w:jc w:val="center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ANÁLISIS</w:t>
            </w:r>
          </w:p>
        </w:tc>
        <w:tc>
          <w:tcPr>
            <w:tcW w:type="dxa" w:w="1445"/>
            <w:shd w:fill="1F4788" w:val="clear" w:color="auto"/>
          </w:tcPr>
          <w:p>
            <w:pPr>
              <w:spacing w:before="0" w:after="20"/>
              <w:jc w:val="center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FECHA INICIAL</w:t>
            </w:r>
          </w:p>
        </w:tc>
        <w:tc>
          <w:tcPr>
            <w:tcW w:type="dxa" w:w="1445"/>
            <w:shd w:fill="1F4788" w:val="clear" w:color="auto"/>
          </w:tcPr>
          <w:p>
            <w:pPr>
              <w:spacing w:before="0" w:after="20"/>
              <w:jc w:val="center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LECTURA (m³)</w:t>
            </w:r>
          </w:p>
        </w:tc>
        <w:tc>
          <w:tcPr>
            <w:tcW w:type="dxa" w:w="1445"/>
            <w:shd w:fill="1F4788" w:val="clear" w:color="auto"/>
          </w:tcPr>
          <w:p>
            <w:pPr>
              <w:spacing w:before="0" w:after="20"/>
              <w:jc w:val="center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FECHA FINAL</w:t>
            </w:r>
          </w:p>
        </w:tc>
        <w:tc>
          <w:tcPr>
            <w:tcW w:type="dxa" w:w="1445"/>
            <w:shd w:fill="1F4788" w:val="clear" w:color="auto"/>
          </w:tcPr>
          <w:p>
            <w:pPr>
              <w:spacing w:before="0" w:after="20"/>
              <w:jc w:val="center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LECTURA (m³)</w:t>
            </w:r>
          </w:p>
        </w:tc>
        <w:tc>
          <w:tcPr>
            <w:tcW w:type="dxa" w:w="1445"/>
            <w:shd w:fill="1F4788" w:val="clear" w:color="auto"/>
          </w:tcPr>
          <w:p>
            <w:pPr>
              <w:spacing w:before="0" w:after="20"/>
              <w:jc w:val="center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CONSUMO m³</w:t>
            </w:r>
          </w:p>
        </w:tc>
        <w:tc>
          <w:tcPr>
            <w:tcW w:type="dxa" w:w="1445"/>
            <w:shd w:fill="1F4788" w:val="clear" w:color="auto"/>
          </w:tcPr>
          <w:p>
            <w:pPr>
              <w:spacing w:before="0" w:after="20"/>
              <w:jc w:val="center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HORAS</w:t>
            </w:r>
          </w:p>
        </w:tc>
      </w:tr>
      <w:tr>
        <w:trPr>
          <w:cantSplit/>
          <w:tblHeader w:val="true"/>
        </w:trPr>
        <w:tc>
          <w:tcPr>
            <w:tcW w:type="dxa" w:w="1445"/>
            <w:shd w:fill="FFFFFF" w:val="clear" w:color="auto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Matriz ESVAL</w:t>
            </w:r>
          </w:p>
        </w:tc>
        <w:tc>
          <w:tcPr>
            <w:tcW w:type="dxa" w:w="1445"/>
            <w:shd w:fill="FFFFFF" w:val="clear" w:color="auto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22-09-2026</w:t>
              <w:br/>
              <w:t>15:00</w:t>
            </w:r>
          </w:p>
        </w:tc>
        <w:tc>
          <w:tcPr>
            <w:tcW w:type="dxa" w:w="1445"/>
            <w:shd w:fill="FFFFFF" w:val="clear" w:color="auto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383.978,0</w:t>
            </w:r>
          </w:p>
        </w:tc>
        <w:tc>
          <w:tcPr>
            <w:tcW w:type="dxa" w:w="1445"/>
            <w:shd w:fill="FFFFFF" w:val="clear" w:color="auto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28-09-2026</w:t>
              <w:br/>
              <w:t>09:05</w:t>
            </w:r>
          </w:p>
        </w:tc>
        <w:tc>
          <w:tcPr>
            <w:tcW w:type="dxa" w:w="1445"/>
            <w:shd w:fill="FFFFFF" w:val="clear" w:color="auto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384.736,5</w:t>
            </w:r>
          </w:p>
        </w:tc>
        <w:tc>
          <w:tcPr>
            <w:tcW w:type="dxa" w:w="1445"/>
            <w:shd w:fill="FFFFFF" w:val="clear" w:color="auto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758,49</w:t>
            </w:r>
          </w:p>
        </w:tc>
        <w:tc>
          <w:tcPr>
            <w:tcW w:type="dxa" w:w="1445"/>
            <w:shd w:fill="FFFFFF" w:val="clear" w:color="auto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137</w:t>
            </w:r>
          </w:p>
        </w:tc>
      </w:tr>
    </w:tbl>
    <w:p>
      <w:pPr>
        <w:keepNext/>
        <w:keepLines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4788"/>
          <w:left w:val="single" w:sz="4" w:space="0" w:color="1F4788"/>
          <w:bottom w:val="single" w:sz="4" w:space="0" w:color="1F4788"/>
          <w:right w:val="single" w:sz="4" w:space="0" w:color="1F4788"/>
          <w:insideH w:val="single" w:sz="4" w:space="0" w:color="1F4788"/>
          <w:insideV w:val="single" w:sz="4" w:space="0" w:color="1F4788"/>
        </w:tblBorders>
      </w:tblPr>
      <w:tblGrid>
        <w:gridCol w:w="5058"/>
        <w:gridCol w:w="5058"/>
      </w:tblGrid>
      <w:tr>
        <w:trPr>
          <w:cantSplit/>
          <w:tblHeader w:val="true"/>
        </w:trPr>
        <w:tc>
          <w:tcPr>
            <w:tcW w:type="dxa" w:w="5058"/>
            <w:shd w:fill="FFFFFF" w:val="clear" w:color="auto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282828"/>
                <w:sz w:val="20"/>
              </w:rPr>
              <w:t>Total App WES</w:t>
            </w:r>
          </w:p>
        </w:tc>
        <w:tc>
          <w:tcPr>
            <w:tcW w:type="dxa" w:w="5058"/>
            <w:shd w:fill="FFFFFF" w:val="clear" w:color="auto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282828"/>
                <w:sz w:val="20"/>
              </w:rPr>
              <w:t>785,88 m³</w:t>
            </w:r>
          </w:p>
        </w:tc>
      </w:tr>
      <w:tr>
        <w:trPr>
          <w:cantSplit/>
          <w:tblHeader w:val="true"/>
        </w:trPr>
        <w:tc>
          <w:tcPr>
            <w:tcW w:type="dxa" w:w="5058"/>
            <w:shd w:fill="F5F8FB" w:val="clear" w:color="auto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282828"/>
                <w:sz w:val="20"/>
              </w:rPr>
              <w:t>Total Lectura Itron</w:t>
            </w:r>
          </w:p>
        </w:tc>
        <w:tc>
          <w:tcPr>
            <w:tcW w:type="dxa" w:w="5058"/>
            <w:shd w:fill="F5F8FB" w:val="clear" w:color="auto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282828"/>
                <w:sz w:val="20"/>
              </w:rPr>
              <w:t>758,49 m³</w:t>
            </w:r>
          </w:p>
        </w:tc>
      </w:tr>
      <w:tr>
        <w:trPr>
          <w:cantSplit/>
          <w:tblHeader w:val="true"/>
        </w:trPr>
        <w:tc>
          <w:tcPr>
            <w:tcW w:type="dxa" w:w="5058"/>
            <w:shd w:fill="E8F5E9" w:val="clear" w:color="auto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/>
                <w:color w:val="1B5E20"/>
                <w:sz w:val="20"/>
              </w:rPr>
              <w:t>% Error</w:t>
            </w:r>
          </w:p>
        </w:tc>
        <w:tc>
          <w:tcPr>
            <w:tcW w:type="dxa" w:w="5058"/>
            <w:shd w:fill="E8F5E9" w:val="clear" w:color="auto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/>
                <w:color w:val="1B5E20"/>
                <w:sz w:val="20"/>
              </w:rPr>
              <w:t>3.5 %</w:t>
            </w:r>
          </w:p>
        </w:tc>
      </w:tr>
    </w:tbl>
    <w:p/>
    <w:p>
      <w:r>
        <w:rPr>
          <w:rFonts w:ascii="Calibri" w:hAnsi="Calibri" w:eastAsia="Calibri"/>
          <w:b w:val="0"/>
          <w:color w:val="282828"/>
          <w:sz w:val="21"/>
        </w:rPr>
        <w:t>Error entre lectura Itron y app WES: 3.5% (1 − 758,49/785,88). Aceptable.</w:t>
      </w:r>
    </w:p>
    <w:p>
      <w:r>
        <w:br w:type="page"/>
      </w:r>
    </w:p>
    <w:p>
      <w:r>
        <w:rPr>
          <w:rFonts w:ascii="Calibri" w:hAnsi="Calibri" w:eastAsia="Calibri"/>
          <w:b/>
          <w:color w:val="1F4788"/>
          <w:sz w:val="28"/>
        </w:rPr>
        <w:t>5. Conclusión</w:t>
      </w:r>
    </w:p>
    <w:p>
      <w:r>
        <w:rPr>
          <w:rFonts w:ascii="Calibri" w:hAnsi="Calibri" w:eastAsia="Calibri"/>
          <w:b w:val="0"/>
          <w:color w:val="282828"/>
          <w:sz w:val="21"/>
        </w:rPr>
        <w:t>El desvío inicial no se debió a calidad de señal ni a cableado. La corrección de diámetro, mortero y factor de escala alineó ambos medidores. Validación única 22–28/09: Itron 758,49 m³ vs app 785,88 m³ (error 3.5%, Aceptable).</w:t>
      </w:r>
    </w:p>
    <w:p>
      <w:pPr>
        <w:spacing w:before="160"/>
      </w:pPr>
      <w:r>
        <w:rPr>
          <w:rFonts w:ascii="Calibri" w:hAnsi="Calibri" w:eastAsia="Calibri"/>
          <w:b w:val="0"/>
          <w:color w:val="646E78"/>
          <w:sz w:val="18"/>
        </w:rPr>
        <w:t>WES · Informe final · Fundo Zapallar · 28-09-2026 19:22</w:t>
      </w:r>
    </w:p>
    <w:sectPr>
      <w:type w:val="continuous"/>
      <w:pgSz w:h="15840" w:w="12240" w:orient="portrait"/>
      <w:pgMar w:bottom="1339" w:top="719" w:left="1063" w:right="1060" w:header="0" w:footer="720"/>
      <w:cols w:equalWidth="0" w:num="1">
        <w:col w:space="0" w:w="10116.64230346679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1.png"/><Relationship Id="rId9" Type="http://schemas.openxmlformats.org/officeDocument/2006/relationships/image" Target="media/image2.jpg"/><Relationship Id="rId10" Type="http://schemas.openxmlformats.org/officeDocument/2006/relationships/image" Target="media/image3.jp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