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jc w:val="center"/>
      </w:pPr>
      <w:r>
        <w:rPr>
          <w:rFonts w:ascii="Calibri" w:hAnsi="Calibri"/>
          <w:b/>
          <w:color w:val="0B3D91"/>
          <w:sz w:val="32"/>
        </w:rPr>
        <w:t>ONEPAGE OPERATIVO — RENCA</w:t>
      </w:r>
    </w:p>
    <w:p>
      <w:pPr>
        <w:spacing w:after="40" w:before="0" w:line="252" w:lineRule="auto"/>
        <w:jc w:val="center"/>
      </w:pPr>
      <w:r>
        <w:rPr>
          <w:rFonts w:ascii="Calibri" w:hAnsi="Calibri"/>
          <w:b w:val="0"/>
          <w:color w:val="0D7A6F"/>
          <w:sz w:val="20"/>
        </w:rPr>
        <w:t>Monitoreo WES · Situación reciente, consumos y próximos pasos</w:t>
      </w:r>
    </w:p>
    <w:p>
      <w:pPr>
        <w:spacing w:after="120" w:before="0" w:line="252" w:lineRule="auto"/>
        <w:jc w:val="center"/>
      </w:pPr>
      <w:r>
        <w:rPr>
          <w:rFonts w:ascii="Calibri" w:hAnsi="Calibri"/>
          <w:b w:val="0"/>
          <w:color w:val="4A4A4A"/>
          <w:sz w:val="16"/>
        </w:rPr>
        <w:t>Corte de datos: 01-jul-2026 → 12-aug-2026  ·  Generado: 12-08-2026 21:14</w:t>
      </w:r>
    </w:p>
    <w:p>
      <w:pPr>
        <w:spacing w:after="60" w:before="40" w:line="252" w:lineRule="auto"/>
        <w:jc w:val="left"/>
      </w:pPr>
      <w:r>
        <w:rPr>
          <w:rFonts w:ascii="Calibri" w:hAnsi="Calibri"/>
          <w:b/>
          <w:color w:val="0B3D91"/>
          <w:sz w:val="22"/>
        </w:rPr>
        <w:t>1. Qué ha pasado en el último tiempo</w:t>
      </w:r>
    </w:p>
    <w:p>
      <w:pPr>
        <w:spacing w:after="60" w:before="0" w:line="252" w:lineRule="auto"/>
        <w:jc w:val="left"/>
      </w:pPr>
      <w:r>
        <w:rPr>
          <w:rFonts w:ascii="Calibri" w:hAnsi="Calibri"/>
          <w:b w:val="0"/>
          <w:color w:val="1A1A1A"/>
          <w:sz w:val="18"/>
        </w:rPr>
        <w:t>Los colegios de Renca mantuvieron el régimen de ahorro con control nocturno WES durante el periodo escolar. En el ICCO (Colegio ICCO Renca), según la app WES (perfil horario 00:00–06:00), el punto dejó de marcar cero en la noche desde el 14-jul-2026. El caudal nocturno continuo típico de llave de emergencia abierta (~1,5–2 m³/h) se observa desde el 25-jul-2026 (~2,5 semanas al 12-ago).</w:t>
      </w:r>
    </w:p>
    <w:p>
      <w:pPr>
        <w:spacing w:after="60" w:before="0" w:line="252" w:lineRule="auto"/>
        <w:jc w:val="left"/>
      </w:pPr>
      <w:r>
        <w:rPr>
          <w:rFonts w:ascii="Calibri" w:hAnsi="Calibri"/>
          <w:b w:val="0"/>
          <w:color w:val="1A1A1A"/>
          <w:sz w:val="18"/>
        </w:rPr>
        <w:t>Esta semana el equipo WES dio soporte a la partida de las bombas del ICCO. Las bombas partieron correctamente gracias al trabajo del equipo de mantención de Celebridad, que dejó el sistema operativo.</w:t>
      </w:r>
    </w:p>
    <w:p>
      <w:pPr>
        <w:spacing w:after="120" w:before="0" w:line="252" w:lineRule="auto"/>
        <w:jc w:val="left"/>
      </w:pPr>
      <w:r>
        <w:rPr>
          <w:rFonts w:ascii="Calibri" w:hAnsi="Calibri"/>
          <w:b w:val="0"/>
          <w:color w:val="1A1A1A"/>
          <w:sz w:val="18"/>
        </w:rPr>
        <w:t>Próxima semana —a más tardar el lunes— se inicia la auditoría del mes de agosto, para consolidar consumos, control nocturno y rendimiento de cada punto frente a la línea base sin WES.</w:t>
      </w:r>
    </w:p>
    <w:p>
      <w:pPr>
        <w:spacing w:after="60" w:before="0" w:line="252" w:lineRule="auto"/>
        <w:jc w:val="left"/>
      </w:pPr>
      <w:r>
        <w:rPr>
          <w:rFonts w:ascii="Calibri" w:hAnsi="Calibri"/>
          <w:b/>
          <w:color w:val="0B3D91"/>
          <w:sz w:val="22"/>
        </w:rPr>
        <w:t>2. Consumos recientes</w:t>
      </w:r>
    </w:p>
    <w:p>
      <w:pPr>
        <w:spacing w:after="80" w:before="0" w:line="252" w:lineRule="auto"/>
        <w:jc w:val="left"/>
      </w:pPr>
      <w:r>
        <w:rPr>
          <w:rFonts w:ascii="Calibri" w:hAnsi="Calibri"/>
          <w:b w:val="0"/>
          <w:color w:val="1A1A1A"/>
          <w:sz w:val="18"/>
        </w:rPr>
        <w:t>Julio 2026 (mes completo): 2.827,6 m³ agregados en 5 puntos. Agosto 2026 (01–12): 1.263,4 m³. El ICCO concentra el mayor volumen, coherente con la llave de emergencia abierta desde el 25-jul (sin cero nocturno desde el 14-jul).</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B3D91" w:val="clear"/>
          </w:tcPr>
          <w:p>
            <w:r>
              <w:rPr>
                <w:b/>
                <w:color w:val="FFFFFF"/>
                <w:sz w:val="16"/>
              </w:rPr>
              <w:t>Punto</w:t>
            </w:r>
          </w:p>
        </w:tc>
        <w:tc>
          <w:tcPr>
            <w:tcW w:type="dxa" w:w="2691"/>
            <w:shd w:fill="0B3D91" w:val="clear"/>
          </w:tcPr>
          <w:p>
            <w:r>
              <w:rPr>
                <w:b/>
                <w:color w:val="FFFFFF"/>
                <w:sz w:val="16"/>
              </w:rPr>
              <w:t>Julio (m³)</w:t>
            </w:r>
          </w:p>
        </w:tc>
        <w:tc>
          <w:tcPr>
            <w:tcW w:type="dxa" w:w="2691"/>
            <w:shd w:fill="0B3D91" w:val="clear"/>
          </w:tcPr>
          <w:p>
            <w:r>
              <w:rPr>
                <w:b/>
                <w:color w:val="FFFFFF"/>
                <w:sz w:val="16"/>
              </w:rPr>
              <w:t>Ago 1–12 (m³)</w:t>
            </w:r>
          </w:p>
        </w:tc>
        <w:tc>
          <w:tcPr>
            <w:tcW w:type="dxa" w:w="2691"/>
            <w:shd w:fill="0B3D91" w:val="clear"/>
          </w:tcPr>
          <w:p>
            <w:r>
              <w:rPr>
                <w:b/>
                <w:color w:val="FFFFFF"/>
                <w:sz w:val="16"/>
              </w:rPr>
              <w:t>Estado operativo</w:t>
            </w:r>
          </w:p>
        </w:tc>
      </w:tr>
      <w:tr>
        <w:tc>
          <w:tcPr>
            <w:tcW w:type="dxa" w:w="2691"/>
          </w:tcPr>
          <w:p>
            <w:r>
              <w:rPr>
                <w:sz w:val="16"/>
              </w:rPr>
              <w:t>Colegio ICCO Renca</w:t>
            </w:r>
          </w:p>
        </w:tc>
        <w:tc>
          <w:tcPr>
            <w:tcW w:type="dxa" w:w="2691"/>
          </w:tcPr>
          <w:p>
            <w:r>
              <w:rPr>
                <w:sz w:val="16"/>
              </w:rPr>
              <w:t>1.260,3</w:t>
            </w:r>
          </w:p>
        </w:tc>
        <w:tc>
          <w:tcPr>
            <w:tcW w:type="dxa" w:w="2691"/>
          </w:tcPr>
          <w:p>
            <w:r>
              <w:rPr>
                <w:sz w:val="16"/>
              </w:rPr>
              <w:t>658,5</w:t>
            </w:r>
          </w:p>
        </w:tc>
        <w:tc>
          <w:tcPr>
            <w:tcW w:type="dxa" w:w="2691"/>
          </w:tcPr>
          <w:p>
            <w:r>
              <w:rPr>
                <w:sz w:val="16"/>
              </w:rPr>
              <w:t>Llave emergencia abierta desde 25-jul (~2,5 sem); sin cero nocturno desde 14-jul · bombas OK (Celebridad)</w:t>
            </w:r>
          </w:p>
        </w:tc>
      </w:tr>
      <w:tr>
        <w:tc>
          <w:tcPr>
            <w:tcW w:type="dxa" w:w="2691"/>
          </w:tcPr>
          <w:p>
            <w:r>
              <w:rPr>
                <w:sz w:val="16"/>
              </w:rPr>
              <w:t>Piscina Municipal</w:t>
            </w:r>
          </w:p>
        </w:tc>
        <w:tc>
          <w:tcPr>
            <w:tcW w:type="dxa" w:w="2691"/>
          </w:tcPr>
          <w:p>
            <w:r>
              <w:rPr>
                <w:sz w:val="16"/>
              </w:rPr>
              <w:t>846,1</w:t>
            </w:r>
          </w:p>
        </w:tc>
        <w:tc>
          <w:tcPr>
            <w:tcW w:type="dxa" w:w="2691"/>
          </w:tcPr>
          <w:p>
            <w:r>
              <w:rPr>
                <w:sz w:val="16"/>
              </w:rPr>
              <w:t>297,7</w:t>
            </w:r>
          </w:p>
        </w:tc>
        <w:tc>
          <w:tcPr>
            <w:tcW w:type="dxa" w:w="2691"/>
          </w:tcPr>
          <w:p>
            <w:r>
              <w:rPr>
                <w:sz w:val="16"/>
              </w:rPr>
              <w:t>Control nocturno activo</w:t>
            </w:r>
          </w:p>
        </w:tc>
      </w:tr>
      <w:tr>
        <w:tc>
          <w:tcPr>
            <w:tcW w:type="dxa" w:w="2691"/>
          </w:tcPr>
          <w:p>
            <w:r>
              <w:rPr>
                <w:sz w:val="16"/>
              </w:rPr>
              <w:t>Cumbre de cóndores pte.</w:t>
            </w:r>
          </w:p>
        </w:tc>
        <w:tc>
          <w:tcPr>
            <w:tcW w:type="dxa" w:w="2691"/>
          </w:tcPr>
          <w:p>
            <w:r>
              <w:rPr>
                <w:sz w:val="16"/>
              </w:rPr>
              <w:t>320,0</w:t>
            </w:r>
          </w:p>
        </w:tc>
        <w:tc>
          <w:tcPr>
            <w:tcW w:type="dxa" w:w="2691"/>
          </w:tcPr>
          <w:p>
            <w:r>
              <w:rPr>
                <w:sz w:val="16"/>
              </w:rPr>
              <w:t>135,5</w:t>
            </w:r>
          </w:p>
        </w:tc>
        <w:tc>
          <w:tcPr>
            <w:tcW w:type="dxa" w:w="2691"/>
          </w:tcPr>
          <w:p>
            <w:r>
              <w:rPr>
                <w:sz w:val="16"/>
              </w:rPr>
              <w:t>Operativo sin novedades</w:t>
            </w:r>
          </w:p>
        </w:tc>
      </w:tr>
      <w:tr>
        <w:tc>
          <w:tcPr>
            <w:tcW w:type="dxa" w:w="2691"/>
          </w:tcPr>
          <w:p>
            <w:r>
              <w:rPr>
                <w:sz w:val="16"/>
              </w:rPr>
              <w:t>Gimnasio</w:t>
            </w:r>
          </w:p>
        </w:tc>
        <w:tc>
          <w:tcPr>
            <w:tcW w:type="dxa" w:w="2691"/>
          </w:tcPr>
          <w:p>
            <w:r>
              <w:rPr>
                <w:sz w:val="16"/>
              </w:rPr>
              <w:t>293,7</w:t>
            </w:r>
          </w:p>
        </w:tc>
        <w:tc>
          <w:tcPr>
            <w:tcW w:type="dxa" w:w="2691"/>
          </w:tcPr>
          <w:p>
            <w:r>
              <w:rPr>
                <w:sz w:val="16"/>
              </w:rPr>
              <w:t>119,5</w:t>
            </w:r>
          </w:p>
        </w:tc>
        <w:tc>
          <w:tcPr>
            <w:tcW w:type="dxa" w:w="2691"/>
          </w:tcPr>
          <w:p>
            <w:r>
              <w:rPr>
                <w:sz w:val="16"/>
              </w:rPr>
              <w:t>Funcionando bien</w:t>
            </w:r>
          </w:p>
        </w:tc>
      </w:tr>
      <w:tr>
        <w:tc>
          <w:tcPr>
            <w:tcW w:type="dxa" w:w="2691"/>
          </w:tcPr>
          <w:p>
            <w:r>
              <w:rPr>
                <w:sz w:val="16"/>
              </w:rPr>
              <w:t>Esc. Lo Velásquez</w:t>
            </w:r>
          </w:p>
        </w:tc>
        <w:tc>
          <w:tcPr>
            <w:tcW w:type="dxa" w:w="2691"/>
          </w:tcPr>
          <w:p>
            <w:r>
              <w:rPr>
                <w:sz w:val="16"/>
              </w:rPr>
              <w:t>107,5</w:t>
            </w:r>
          </w:p>
        </w:tc>
        <w:tc>
          <w:tcPr>
            <w:tcW w:type="dxa" w:w="2691"/>
          </w:tcPr>
          <w:p>
            <w:r>
              <w:rPr>
                <w:sz w:val="16"/>
              </w:rPr>
              <w:t>52,1</w:t>
            </w:r>
          </w:p>
        </w:tc>
        <w:tc>
          <w:tcPr>
            <w:tcW w:type="dxa" w:w="2691"/>
          </w:tcPr>
          <w:p>
            <w:r>
              <w:rPr>
                <w:sz w:val="16"/>
              </w:rPr>
              <w:t>Control nocturno · proceso auto. activo</w:t>
            </w:r>
          </w:p>
        </w:tc>
      </w:tr>
      <w:tr>
        <w:tc>
          <w:tcPr>
            <w:tcW w:type="dxa" w:w="2691"/>
            <w:shd w:fill="E8EEF7" w:val="clear"/>
          </w:tcPr>
          <w:p>
            <w:r>
              <w:rPr>
                <w:b/>
                <w:sz w:val="16"/>
              </w:rPr>
              <w:t>TOTAL</w:t>
            </w:r>
          </w:p>
        </w:tc>
        <w:tc>
          <w:tcPr>
            <w:tcW w:type="dxa" w:w="2691"/>
            <w:shd w:fill="E8EEF7" w:val="clear"/>
          </w:tcPr>
          <w:p>
            <w:r>
              <w:rPr>
                <w:b/>
                <w:sz w:val="16"/>
              </w:rPr>
              <w:t>2.827,6</w:t>
            </w:r>
          </w:p>
        </w:tc>
        <w:tc>
          <w:tcPr>
            <w:tcW w:type="dxa" w:w="2691"/>
            <w:shd w:fill="E8EEF7" w:val="clear"/>
          </w:tcPr>
          <w:p>
            <w:r>
              <w:rPr>
                <w:b/>
                <w:sz w:val="16"/>
              </w:rPr>
              <w:t>1.263,4</w:t>
            </w:r>
          </w:p>
        </w:tc>
        <w:tc>
          <w:tcPr>
            <w:tcW w:type="dxa" w:w="2691"/>
            <w:shd w:fill="E8EEF7" w:val="clear"/>
          </w:tcPr>
          <w:p>
            <w:r>
              <w:rPr>
                <w:b/>
                <w:sz w:val="16"/>
              </w:rPr>
            </w:r>
          </w:p>
        </w:tc>
      </w:tr>
    </w:tbl>
    <w:p>
      <w:pPr>
        <w:spacing w:after="80"/>
      </w:pPr>
    </w:p>
    <w:p>
      <w:pPr>
        <w:spacing w:after="60" w:before="80" w:line="252" w:lineRule="auto"/>
        <w:jc w:val="left"/>
      </w:pPr>
      <w:r>
        <w:rPr>
          <w:rFonts w:ascii="Calibri" w:hAnsi="Calibri"/>
          <w:b/>
          <w:color w:val="0B3D91"/>
          <w:sz w:val="22"/>
        </w:rPr>
        <w:t>3. Estado por establecimiento</w:t>
      </w:r>
    </w:p>
    <w:p>
      <w:pPr>
        <w:pStyle w:val="ListBullet"/>
        <w:spacing w:after="20" w:before="0"/>
      </w:pPr>
      <w:r>
        <w:rPr>
          <w:rFonts w:ascii="Calibri" w:hAnsi="Calibri"/>
          <w:sz w:val="16"/>
        </w:rPr>
        <w:t>ICCO: llave de emergencia abierta desde el 25-jul (~2,5 semanas); sin cero nocturno desde el 14-jul (app WES). Esta semana bombas partieron con soporte WES + Celebridad.</w:t>
      </w:r>
    </w:p>
    <w:p>
      <w:pPr>
        <w:pStyle w:val="ListBullet"/>
        <w:spacing w:after="20" w:before="0"/>
      </w:pPr>
      <w:r>
        <w:rPr>
          <w:rFonts w:ascii="Calibri" w:hAnsi="Calibri"/>
          <w:sz w:val="16"/>
        </w:rPr>
        <w:t>Gimnasio: funcionando bien.</w:t>
      </w:r>
    </w:p>
    <w:p>
      <w:pPr>
        <w:pStyle w:val="ListBullet"/>
        <w:spacing w:after="20" w:before="0"/>
      </w:pPr>
      <w:r>
        <w:rPr>
          <w:rFonts w:ascii="Calibri" w:hAnsi="Calibri"/>
          <w:sz w:val="16"/>
        </w:rPr>
        <w:t>Piscina Municipal: control nocturno activo.</w:t>
      </w:r>
    </w:p>
    <w:p>
      <w:pPr>
        <w:pStyle w:val="ListBullet"/>
        <w:spacing w:after="20" w:before="0"/>
      </w:pPr>
      <w:r>
        <w:rPr>
          <w:rFonts w:ascii="Calibri" w:hAnsi="Calibri"/>
          <w:sz w:val="16"/>
        </w:rPr>
        <w:t>Esc. Lo Velásquez: control nocturno; tiende a cero; días con consumo por llaves abiertas → proceso automático activado.</w:t>
      </w:r>
    </w:p>
    <w:p>
      <w:pPr>
        <w:pStyle w:val="ListBullet"/>
        <w:spacing w:after="20" w:before="0"/>
      </w:pPr>
      <w:r>
        <w:rPr>
          <w:rFonts w:ascii="Calibri" w:hAnsi="Calibri"/>
          <w:sz w:val="16"/>
        </w:rPr>
        <w:t>Cumbre de cóndores: operativo sin problemas.</w:t>
      </w:r>
    </w:p>
    <w:p>
      <w:pPr>
        <w:spacing w:after="60" w:before="120" w:line="252" w:lineRule="auto"/>
        <w:jc w:val="left"/>
      </w:pPr>
      <w:r>
        <w:rPr>
          <w:rFonts w:ascii="Calibri" w:hAnsi="Calibri"/>
          <w:b/>
          <w:color w:val="0B3D91"/>
          <w:sz w:val="22"/>
        </w:rPr>
        <w:t>4. Ahorro vs antes de operar (auditoría abril 2026)</w:t>
      </w:r>
    </w:p>
    <w:p>
      <w:pPr>
        <w:spacing w:after="60" w:before="0" w:line="252" w:lineRule="auto"/>
        <w:jc w:val="left"/>
      </w:pPr>
      <w:r>
        <w:rPr>
          <w:rFonts w:ascii="Calibri" w:hAnsi="Calibri"/>
          <w:b w:val="0"/>
          <w:color w:val="4A4A4A"/>
          <w:sz w:val="16"/>
        </w:rPr>
        <w:t>Comparación de la semana con control WES (13–19 abr) frente a la semana de referencia sin WES (6–12 abr). Para el Gimnasio se reporta el comparativo de mayo (25–31) vs la misma línea base sin WES de abril, representativo de la operación normal.</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D7A6F" w:val="clear"/>
          </w:tcPr>
          <w:p>
            <w:r>
              <w:rPr>
                <w:b/>
                <w:color w:val="FFFFFF"/>
                <w:sz w:val="16"/>
              </w:rPr>
              <w:t>Punto</w:t>
            </w:r>
          </w:p>
        </w:tc>
        <w:tc>
          <w:tcPr>
            <w:tcW w:type="dxa" w:w="2691"/>
            <w:shd w:fill="0D7A6F" w:val="clear"/>
          </w:tcPr>
          <w:p>
            <w:r>
              <w:rPr>
                <w:b/>
                <w:color w:val="FFFFFF"/>
                <w:sz w:val="16"/>
              </w:rPr>
              <w:t>% ahorro</w:t>
            </w:r>
          </w:p>
        </w:tc>
        <w:tc>
          <w:tcPr>
            <w:tcW w:type="dxa" w:w="2691"/>
            <w:shd w:fill="0D7A6F" w:val="clear"/>
          </w:tcPr>
          <w:p>
            <w:r>
              <w:rPr>
                <w:b/>
                <w:color w:val="FFFFFF"/>
                <w:sz w:val="16"/>
              </w:rPr>
              <w:t>Semana sin WES (m³)</w:t>
            </w:r>
          </w:p>
        </w:tc>
        <w:tc>
          <w:tcPr>
            <w:tcW w:type="dxa" w:w="2691"/>
            <w:shd w:fill="0D7A6F" w:val="clear"/>
          </w:tcPr>
          <w:p>
            <w:r>
              <w:rPr>
                <w:b/>
                <w:color w:val="FFFFFF"/>
                <w:sz w:val="16"/>
              </w:rPr>
              <w:t>Semana con WES (m³)</w:t>
            </w:r>
          </w:p>
        </w:tc>
      </w:tr>
      <w:tr>
        <w:tc>
          <w:tcPr>
            <w:tcW w:type="dxa" w:w="2691"/>
          </w:tcPr>
          <w:p>
            <w:r>
              <w:rPr>
                <w:sz w:val="16"/>
              </w:rPr>
              <w:t>Colegio ICCO Renca</w:t>
            </w:r>
          </w:p>
        </w:tc>
        <w:tc>
          <w:tcPr>
            <w:tcW w:type="dxa" w:w="2691"/>
          </w:tcPr>
          <w:p>
            <w:r>
              <w:rPr>
                <w:sz w:val="16"/>
              </w:rPr>
              <w:t>37,2 %</w:t>
            </w:r>
          </w:p>
        </w:tc>
        <w:tc>
          <w:tcPr>
            <w:tcW w:type="dxa" w:w="2691"/>
          </w:tcPr>
          <w:p>
            <w:r>
              <w:rPr>
                <w:sz w:val="16"/>
              </w:rPr>
              <w:t>341,8</w:t>
            </w:r>
          </w:p>
        </w:tc>
        <w:tc>
          <w:tcPr>
            <w:tcW w:type="dxa" w:w="2691"/>
          </w:tcPr>
          <w:p>
            <w:r>
              <w:rPr>
                <w:sz w:val="16"/>
              </w:rPr>
              <w:t>214,8</w:t>
            </w:r>
          </w:p>
        </w:tc>
      </w:tr>
      <w:tr>
        <w:tc>
          <w:tcPr>
            <w:tcW w:type="dxa" w:w="2691"/>
          </w:tcPr>
          <w:p>
            <w:r>
              <w:rPr>
                <w:sz w:val="16"/>
              </w:rPr>
              <w:t>Esc. Lo Velásquez</w:t>
            </w:r>
          </w:p>
        </w:tc>
        <w:tc>
          <w:tcPr>
            <w:tcW w:type="dxa" w:w="2691"/>
          </w:tcPr>
          <w:p>
            <w:r>
              <w:rPr>
                <w:sz w:val="16"/>
              </w:rPr>
              <w:t>10,1 %</w:t>
            </w:r>
          </w:p>
        </w:tc>
        <w:tc>
          <w:tcPr>
            <w:tcW w:type="dxa" w:w="2691"/>
          </w:tcPr>
          <w:p>
            <w:r>
              <w:rPr>
                <w:sz w:val="16"/>
              </w:rPr>
              <w:t>36,7</w:t>
            </w:r>
          </w:p>
        </w:tc>
        <w:tc>
          <w:tcPr>
            <w:tcW w:type="dxa" w:w="2691"/>
          </w:tcPr>
          <w:p>
            <w:r>
              <w:rPr>
                <w:sz w:val="16"/>
              </w:rPr>
              <w:t>33,0</w:t>
            </w:r>
          </w:p>
        </w:tc>
      </w:tr>
      <w:tr>
        <w:tc>
          <w:tcPr>
            <w:tcW w:type="dxa" w:w="2691"/>
          </w:tcPr>
          <w:p>
            <w:r>
              <w:rPr>
                <w:sz w:val="16"/>
              </w:rPr>
              <w:t>Piscina Municipal</w:t>
            </w:r>
          </w:p>
        </w:tc>
        <w:tc>
          <w:tcPr>
            <w:tcW w:type="dxa" w:w="2691"/>
          </w:tcPr>
          <w:p>
            <w:r>
              <w:rPr>
                <w:sz w:val="16"/>
              </w:rPr>
              <w:t>57,4 %</w:t>
            </w:r>
          </w:p>
        </w:tc>
        <w:tc>
          <w:tcPr>
            <w:tcW w:type="dxa" w:w="2691"/>
          </w:tcPr>
          <w:p>
            <w:r>
              <w:rPr>
                <w:sz w:val="16"/>
              </w:rPr>
              <w:t>698,7</w:t>
            </w:r>
          </w:p>
        </w:tc>
        <w:tc>
          <w:tcPr>
            <w:tcW w:type="dxa" w:w="2691"/>
          </w:tcPr>
          <w:p>
            <w:r>
              <w:rPr>
                <w:sz w:val="16"/>
              </w:rPr>
              <w:t>297,8</w:t>
            </w:r>
          </w:p>
        </w:tc>
      </w:tr>
      <w:tr>
        <w:tc>
          <w:tcPr>
            <w:tcW w:type="dxa" w:w="2691"/>
          </w:tcPr>
          <w:p>
            <w:r>
              <w:rPr>
                <w:sz w:val="16"/>
              </w:rPr>
              <w:t>Gimnasio (mayo vs sin WES abr)</w:t>
            </w:r>
          </w:p>
        </w:tc>
        <w:tc>
          <w:tcPr>
            <w:tcW w:type="dxa" w:w="2691"/>
          </w:tcPr>
          <w:p>
            <w:r>
              <w:rPr>
                <w:sz w:val="16"/>
              </w:rPr>
              <w:t>96,5 %</w:t>
            </w:r>
          </w:p>
        </w:tc>
        <w:tc>
          <w:tcPr>
            <w:tcW w:type="dxa" w:w="2691"/>
          </w:tcPr>
          <w:p>
            <w:r>
              <w:rPr>
                <w:sz w:val="16"/>
              </w:rPr>
              <w:t>470,2</w:t>
            </w:r>
          </w:p>
        </w:tc>
        <w:tc>
          <w:tcPr>
            <w:tcW w:type="dxa" w:w="2691"/>
          </w:tcPr>
          <w:p>
            <w:r>
              <w:rPr>
                <w:sz w:val="16"/>
              </w:rPr>
              <w:t>16,4</w:t>
            </w:r>
          </w:p>
        </w:tc>
      </w:tr>
      <w:tr>
        <w:tc>
          <w:tcPr>
            <w:tcW w:type="dxa" w:w="2691"/>
          </w:tcPr>
          <w:p>
            <w:r>
              <w:rPr>
                <w:sz w:val="16"/>
              </w:rPr>
              <w:t>Cumbre de cóndores pte.</w:t>
            </w:r>
          </w:p>
        </w:tc>
        <w:tc>
          <w:tcPr>
            <w:tcW w:type="dxa" w:w="2691"/>
          </w:tcPr>
          <w:p>
            <w:r>
              <w:rPr>
                <w:sz w:val="16"/>
              </w:rPr>
              <w:t>6,2 %</w:t>
            </w:r>
          </w:p>
        </w:tc>
        <w:tc>
          <w:tcPr>
            <w:tcW w:type="dxa" w:w="2691"/>
          </w:tcPr>
          <w:p>
            <w:r>
              <w:rPr>
                <w:sz w:val="16"/>
              </w:rPr>
              <w:t>51,6</w:t>
            </w:r>
          </w:p>
        </w:tc>
        <w:tc>
          <w:tcPr>
            <w:tcW w:type="dxa" w:w="2691"/>
          </w:tcPr>
          <w:p>
            <w:r>
              <w:rPr>
                <w:sz w:val="16"/>
              </w:rPr>
              <w:t>48,4</w:t>
            </w:r>
          </w:p>
        </w:tc>
      </w:tr>
    </w:tbl>
    <w:p>
      <w:pPr>
        <w:spacing w:after="80" w:before="80" w:line="252" w:lineRule="auto"/>
        <w:jc w:val="left"/>
      </w:pPr>
      <w:r>
        <w:rPr>
          <w:rFonts w:ascii="Calibri" w:hAnsi="Calibri"/>
          <w:b w:val="0"/>
          <w:color w:val="1A1A1A"/>
          <w:sz w:val="17"/>
        </w:rPr>
        <w:t>Lectura: con el sistema operando, Piscina e ICCO concentran el mayor rendimiento de ahorro (57 % y 37 %). Lo Velásquez ahorra ~10 % y además suele caer a cero en noche. Cóndores aporta un ahorro moderado (~6 %) con operación estable. El Gimnasio, en régimen normal, muestra un ahorro muy alto respecto a la línea base previa.</w:t>
      </w:r>
    </w:p>
    <w:p>
      <w:pPr>
        <w:spacing w:after="40" w:before="80" w:line="252" w:lineRule="auto"/>
        <w:jc w:val="left"/>
      </w:pPr>
      <w:r>
        <w:rPr>
          <w:rFonts w:ascii="Calibri" w:hAnsi="Calibri"/>
          <w:b/>
          <w:color w:val="0B3D91"/>
          <w:sz w:val="22"/>
        </w:rPr>
        <w:t>5. Próximos pasos</w:t>
      </w:r>
    </w:p>
    <w:p>
      <w:pPr>
        <w:pStyle w:val="ListNumber"/>
        <w:spacing w:after="20"/>
      </w:pPr>
      <w:r>
        <w:rPr>
          <w:sz w:val="17"/>
        </w:rPr>
        <w:t>Lunes próximo (a más tardar): auditoría de agosto — consumos, nocturno y % ahorro por punto.</w:t>
      </w:r>
    </w:p>
    <w:p>
      <w:pPr>
        <w:pStyle w:val="ListNumber"/>
        <w:spacing w:after="20"/>
      </w:pPr>
      <w:r>
        <w:rPr>
          <w:sz w:val="17"/>
        </w:rPr>
        <w:t>ICCO: cerrar/normalizar llave de emergencia (abierta desde 25-jul) y retomar control nocturno.</w:t>
      </w:r>
    </w:p>
    <w:p>
      <w:pPr>
        <w:pStyle w:val="ListNumber"/>
        <w:spacing w:after="20"/>
      </w:pPr>
      <w:r>
        <w:rPr>
          <w:sz w:val="17"/>
        </w:rPr>
        <w:t>Piscina / Lo Velásquez: mantener control nocturno; vigilar llaves abiertas.</w:t>
      </w:r>
    </w:p>
    <w:p>
      <w:pPr>
        <w:pStyle w:val="ListNumber"/>
        <w:spacing w:after="20"/>
      </w:pPr>
      <w:r>
        <w:rPr>
          <w:sz w:val="17"/>
        </w:rPr>
        <w:t>Gimnasio y Cóndores: seguimiento estable.</w:t>
      </w:r>
    </w:p>
    <w:p>
      <w:pPr>
        <w:spacing w:after="40" w:before="80" w:line="252" w:lineRule="auto"/>
        <w:jc w:val="center"/>
      </w:pPr>
      <w:r>
        <w:rPr>
          <w:rFonts w:ascii="Calibri" w:hAnsi="Calibri"/>
          <w:b w:val="0"/>
          <w:color w:val="4A4A4A"/>
          <w:sz w:val="14"/>
        </w:rPr>
        <w:t>Fuente consumos/nocturno ICCO: API WES (perfil horario). Ahorros: auditoría abr-2026 (Gimnasio: may-2026). Tarifa ref. $1.300/m³.</w:t>
      </w:r>
    </w:p>
    <w:sectPr w:rsidR="00FC693F" w:rsidRPr="0006063C" w:rsidSect="00034616">
      <w:headerReference w:type="default" r:id="rId9"/>
      <w:pgSz w:w="12240" w:h="15840"/>
      <w:pgMar w:top="624"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