
<file path=[Content_Types].xml><?xml version="1.0" encoding="utf-8"?>
<Types xmlns="http://schemas.openxmlformats.org/package/2006/content-types"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0.52001953125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36"/>
          <w:szCs w:val="36"/>
          <w:u w:val="none"/>
          <w:shd w:fill="auto" w:val="clear"/>
          <w:vertAlign w:val="baseline"/>
          <w:rtl w:val="0"/>
        </w:rPr>
        <w:t xml:space="preserve">Informe de validación — Etapa N°5 · Fundo Zapallar </w:t>
      </w:r>
    </w:p>
    <w:p w:rsidR="00000000" w:rsidDel="00000000" w:rsidP="00000000" w:rsidRDefault="00000000" w:rsidRPr="00000000" w14:paraId="0000000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457.879638671875" w:line="240" w:lineRule="auto"/>
        <w:ind w:left="136.4600372314453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  <w:rtl w:val="0"/>
        </w:rPr>
        <w:t xml:space="preserve">Fundo Zapallar · Etapa N°5 (000027-03) · Informe final </w:t>
      </w:r>
    </w:p>
    <w:p w:rsidR="00000000" w:rsidDel="00000000" w:rsidP="00000000" w:rsidRDefault="00000000" w:rsidRPr="00000000" w14:paraId="0000000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70.941162109375" w:line="240" w:lineRule="auto"/>
        <w:ind w:left="119.00001525878906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646e78"/>
          <w:sz w:val="18"/>
          <w:szCs w:val="18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646E78"/>
          <w:sz w:val="20"/>
        </w:rPr>
        <w:t>Validación: 22-09-2026 14:30 → 28-09-2026 08:57 · Intervención placa 22-09-2026</w:t>
      </w:r>
    </w:p>
    <w:tbl>
      <w:tblPr>
        <w:tblStyle w:val="Table1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3362.0001220703125"/>
        <w:gridCol w:w="3362.0001220703125"/>
        <w:gridCol w:w="3361.99951171875"/>
        <w:tblGridChange w:id="0">
          <w:tblGrid>
            <w:gridCol w:w="3362.0001220703125"/>
            <w:gridCol w:w="3362.0001220703125"/>
            <w:gridCol w:w="3361.99951171875"/>
          </w:tblGrid>
        </w:tblGridChange>
      </w:tblGrid>
      <w:tr>
        <w:trPr>
          <w:cantSplit w:val="0"/>
          <w:trHeight w:val="312.0007324218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4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7.28004455566406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5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890136718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06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5.199584960937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Red / medidor</w:t>
            </w:r>
          </w:p>
        </w:tc>
      </w:tr>
      <w:tr>
        <w:trPr>
          <w:cantSplit w:val="0"/>
          <w:trHeight w:val="643.999023437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0.6000518798828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18.8 %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65,80 m³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7598876953125" w:right="0" w:firstLine="0"/>
              <w:jc w:val="center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1b5e20"/>
                <w:sz w:val="24"/>
                <w:szCs w:val="24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 · 22→28/09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E8F5E9" w:val="clear" w:color="auto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94.0493869781494" w:lineRule="auto"/>
              <w:ind w:left="128.759765625" w:right="480.6005859375" w:firstLine="11.839599609375"/>
              <w:jc w:val="center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646e78"/>
                <w:sz w:val="16"/>
                <w:szCs w:val="16"/>
                <w:u w:val="none"/>
                <w:shd w:fill="auto" w:val="clear"/>
                <w:vertAlign w:val="baseline"/>
              </w:rPr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DN90 · techo ≈ 60 m³/h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Q3 medidor 100 m³/h</w:t>
            </w:r>
          </w:p>
        </w:tc>
      </w:tr>
    </w:tbl>
    <w:p w:rsidR="00000000" w:rsidDel="00000000" w:rsidP="00000000" w:rsidRDefault="00000000" w:rsidRPr="00000000" w14:paraId="0000000C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D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40" w:lineRule="auto"/>
        <w:ind w:left="133.16001892089844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1. Objetivo </w:t>
      </w:r>
    </w:p>
    <w:p w:rsidR="00000000" w:rsidDel="00000000" w:rsidP="00000000" w:rsidRDefault="00000000" w:rsidRPr="00000000" w14:paraId="0000000F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52899169922" w:lineRule="auto"/>
        <w:ind w:left="130" w:right="1.795654296875" w:firstLine="8.400039672851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Documentar la intervención en terreno sobre la placa de Etapa N°5 ante caudales anómalos incompatibles con la red DN90, y presentar el cálculo de validación entre lecturas mecánicas del medidor Sensus y el consumo de la app WES. </w:t>
      </w:r>
    </w:p>
    <w:p w:rsidR="00000000" w:rsidDel="00000000" w:rsidP="00000000" w:rsidRDefault="00000000" w:rsidRPr="00000000" w14:paraId="00000010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0117187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2. Resumen </w:t>
      </w:r>
    </w:p>
    <w:p w:rsidR="00000000" w:rsidDel="00000000" w:rsidP="00000000" w:rsidRDefault="00000000" w:rsidRPr="00000000" w14:paraId="0000001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2.918701171875" w:line="312.8749752044678" w:lineRule="auto"/>
        <w:ind w:left="130" w:right="0" w:hanging="0.800018310546875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>
        <w:rPr>
          <w:rFonts w:ascii="Calibri" w:hAnsi="Calibri" w:eastAsia="Calibri"/>
          <w:b w:val="0"/>
          <w:color w:val="282828"/>
          <w:sz w:val="21"/>
        </w:rPr>
        <w:t>Se detectaron pulsos anómalos; el error era de memoria de placa. Se reemplazó la memoria y se normalizó el punto. Validación única 22–28/09: Sensus 81 m³ vs app 65,80 m³ (error 18.8%, revisar — diferencia relevante).</w:t>
      </w:r>
    </w:p>
    <w:p w:rsidR="00000000" w:rsidDel="00000000" w:rsidP="00000000" w:rsidRDefault="00000000" w:rsidRPr="00000000" w14:paraId="0000001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41.871337890625" w:line="240" w:lineRule="auto"/>
        <w:ind w:left="128.1200408935547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4"/>
          <w:szCs w:val="24"/>
          <w:u w:val="none"/>
          <w:shd w:fill="auto" w:val="clear"/>
          <w:vertAlign w:val="baseline"/>
          <w:rtl w:val="0"/>
        </w:rPr>
        <w:t xml:space="preserve">3. Actividades realizadas </w:t>
      </w:r>
    </w:p>
    <w:p w:rsidR="00000000" w:rsidDel="00000000" w:rsidP="00000000" w:rsidRDefault="00000000" w:rsidRPr="00000000" w14:paraId="00000013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213.9196777343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3.1 Revisión en terreno </w:t>
      </w:r>
    </w:p>
    <w:p w:rsidR="00000000" w:rsidDel="00000000" w:rsidP="00000000" w:rsidRDefault="00000000" w:rsidRPr="00000000" w14:paraId="00000014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3.402099609375" w:hanging="6.80000305175781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Sensor Census / inductivo OK, pulsos de revisión OK y voltajes correctos. Diagnóstico: falla de memoria de la placa. Acción: cambio de memoria; punto reparado/normalizado. </w:t>
      </w:r>
    </w:p>
    <w:p w:rsidR="00000000" w:rsidDel="00000000" w:rsidP="00000000" w:rsidRDefault="00000000" w:rsidRPr="00000000" w14:paraId="00000015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1215820312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3.2 Medidor instalado </w:t>
      </w:r>
    </w:p>
    <w:p w:rsidR="00000000" w:rsidDel="00000000" w:rsidP="00000000" w:rsidRDefault="00000000" w:rsidRPr="00000000" w14:paraId="00000016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59521484375" w:line="312.8749752044678" w:lineRule="auto"/>
        <w:ind w:left="128.800048828125" w:right="6.39404296875" w:firstLine="9.599990844726562"/>
        <w:jc w:val="both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Medidor Sensus MeiStream Plus 100, serie 8 SEN01 2370 9030 (2023), Q3 = 100 m³/h. Módulo HRI-Mei B4 500 ms (serie 31730485), pulso DN 40–125 = 100 L/pulso. Lecturas: 5.144 m³ (22-09-2026) 5.177 m³ (23- → 09-2026); Δ 33 m³. </w:t>
      </w:r>
    </w:p>
    <w:p w:rsidR="00000000" w:rsidDel="00000000" w:rsidP="00000000" w:rsidRDefault="00000000" w:rsidRPr="00000000" w14:paraId="00000017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39.87060546875" w:line="240" w:lineRule="auto"/>
        <w:ind w:left="127.36000061035156" w:right="0" w:firstLine="0"/>
        <w:jc w:val="left"/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Fonts w:ascii="Arial" w:cs="Arial" w:eastAsia="Arial" w:hAnsi="Arial"/>
          <w:b w:val="1"/>
          <w:bCs w:val="1"/>
          <w:i w:val="0"/>
          <w:iCs w:val="0"/>
          <w:smallCaps w:val="0"/>
          <w:strike w:val="0"/>
          <w:color w:val="1f4788"/>
          <w:sz w:val="22"/>
          <w:szCs w:val="22"/>
          <w:u w:val="none"/>
          <w:shd w:fill="auto" w:val="clear"/>
          <w:vertAlign w:val="baseline"/>
          <w:rtl w:val="0"/>
        </w:rPr>
        <w:t xml:space="preserve">3.3 Criterio hidráulico (DN90) </w:t>
      </w:r>
    </w:p>
    <w:p w:rsidR="00000000" w:rsidDel="00000000" w:rsidP="00000000" w:rsidRDefault="00000000" w:rsidRPr="00000000" w14:paraId="00000018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127.2601318359375" w:line="312.87466049194336" w:lineRule="auto"/>
        <w:ind w:left="135.99998474121094" w:right="8.995361328125" w:firstLine="2.400054931640625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</w:rPr>
      </w:pPr>
      <w:r w:rsidDel="00000000" w:rsidR="00000000" w:rsidRPr="00000000">
        <w:rPr>
          <w:rFonts w:ascii="Arial Unicode MS" w:cs="Arial Unicode MS" w:eastAsia="Arial Unicode MS" w:hAnsi="Arial Unicode MS"/>
          <w:b w:val="0"/>
          <w:bCs w:val="0"/>
          <w:i w:val="0"/>
          <w:iCs w:val="0"/>
          <w:smallCaps w:val="0"/>
          <w:strike w:val="0"/>
          <w:color w:val="282828"/>
          <w:sz w:val="20"/>
          <w:szCs w:val="20"/>
          <w:u w:val="none"/>
          <w:shd w:fill="auto" w:val="clear"/>
          <w:vertAlign w:val="baseline"/>
          <w:rtl w:val="0"/>
        </w:rPr>
        <w:t xml:space="preserve">Red DN90 fierro dúctil. Techo práctico 60 m³/h (~2,5 m/s). El medidor admite Q3 = 100 m³/h, pero la red ≈ no entrega de forma realista 92–200 m³/h (error de memoria).</w:t>
      </w:r>
    </w:p>
    <w:tbl>
      <w:tblPr>
        <w:tblStyle w:val="Table2"/>
        <w:tblW w:w="10085.999755859375" w:type="dxa"/>
        <w:jc w:val="left"/>
        <w:tblLayout w:type="fixed"/>
        <w:tblLook w:val="060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42.0001220703125"/>
        <w:gridCol w:w="5043.9996337890625"/>
        <w:tblGridChange w:id="0">
          <w:tblGrid>
            <w:gridCol w:w="5042.0001220703125"/>
            <w:gridCol w:w="5043.9996337890625"/>
          </w:tblGrid>
        </w:tblGridChange>
      </w:tblGrid>
      <w:tr>
        <w:trPr>
          <w:cantSplit w:val="0"/>
          <w:trHeight w:val="311.99981689453125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9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19.00001525878906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Velocidad de referencia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1F4788" w:val="clear" w:color="auto"/>
          </w:tcPr>
          <w:p w:rsidR="00000000" w:rsidDel="00000000" w:rsidP="00000000" w:rsidRDefault="00000000" w:rsidRPr="00000000" w14:paraId="0000001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0.4400634765625" w:right="0" w:firstLine="0"/>
              <w:jc w:val="left"/>
              <w:rPr>
                <w:rFonts w:ascii="Arial" w:cs="Arial" w:eastAsia="Arial" w:hAnsi="Arial"/>
                <w:b w:val="1"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/>
                <w:bCs w:val="1"/>
                <w:i w:val="0"/>
                <w:iCs w:val="0"/>
                <w:smallCaps w:val="0"/>
                <w:strike w:val="0"/>
                <w:color w:val="FFFFFF"/>
                <w:sz w:val="18"/>
                <w:szCs w:val="18"/>
                <w:u w:val="none"/>
                <w:shd w:fill="auto" w:val="clear"/>
                <w:vertAlign w:val="baseline"/>
                <w:rtl w:val="0"/>
              </w:rPr>
              <w:t xml:space="preserve">Caudal teórico DN90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36.8000030517578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1,5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C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34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2,0 m/s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5F8FB" w:val="clear" w:color="auto"/>
          </w:tcPr>
          <w:p w:rsidR="00000000" w:rsidDel="00000000" w:rsidP="00000000" w:rsidRDefault="00000000" w:rsidRPr="00000000" w14:paraId="0000001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46 m³/h</w:t>
            </w:r>
          </w:p>
        </w:tc>
      </w:tr>
      <w:tr>
        <w:trPr>
          <w:cantSplit w:val="0"/>
          <w:trHeight w:val="340" w:hRule="atLeast"/>
          <w:tblHeader w:val="0"/>
        </w:trPr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1F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28.60000610351562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2,5 m/s (techo práctico) </w:t>
            </w:r>
          </w:p>
        </w:tc>
        <w:tc>
          <w:tcPr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  <w:shd w:fill="FFFFFF" w:val="clear" w:color="auto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141.199951171875" w:right="0" w:firstLine="0"/>
              <w:jc w:val="left"/>
              <w:rPr>
                <w:rFonts w:ascii="Arial" w:cs="Arial" w:eastAsia="Arial" w:hAnsi="Arial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Fonts w:ascii="Arial Unicode MS" w:cs="Arial Unicode MS" w:eastAsia="Arial Unicode MS" w:hAnsi="Arial Unicode MS"/>
                <w:b w:val="0"/>
                <w:bCs w:val="0"/>
                <w:i w:val="0"/>
                <w:iCs w:val="0"/>
                <w:smallCaps w:val="0"/>
                <w:strike w:val="0"/>
                <w:color w:val="282828"/>
                <w:sz w:val="20"/>
                <w:szCs w:val="20"/>
                <w:u w:val="none"/>
                <w:shd w:fill="auto" w:val="clear"/>
                <w:vertAlign w:val="baseline"/>
                <w:rtl w:val="0"/>
              </w:rPr>
              <w:t xml:space="preserve">≈ 57–60 m³/h</w:t>
            </w:r>
          </w:p>
        </w:tc>
      </w:tr>
    </w:tbl>
    <w:p w:rsidR="00000000" w:rsidDel="00000000" w:rsidP="00000000" w:rsidRDefault="00000000" w:rsidRPr="00000000" w14:paraId="00000021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keepNext w:val="0"/>
        <w:keepLines w:val="0"/>
        <w:pageBreakBefore w:val="0"/>
        <w:widowControl w:val="0"/>
        <w:pBdr>
          <w:top w:space="0" w:sz="0" w:val="nil"/>
          <w:left w:space="0" w:sz="0" w:val="nil"/>
          <w:bottom w:space="0" w:sz="0" w:val="nil"/>
          <w:right w:space="0" w:sz="0" w:val="nil"/>
          <w:between w:space="0" w:sz="0" w:val="nil"/>
        </w:pBdr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p>
      <w:r>
        <w:rPr>
          <w:rFonts w:ascii="Calibri" w:hAnsi="Calibri" w:eastAsia="Calibri"/>
          <w:b/>
          <w:color w:val="1F4788"/>
          <w:sz w:val="28"/>
        </w:rPr>
        <w:t>4. Cálculo de validación</w:t>
      </w:r>
    </w:p>
    <w:p>
      <w:r>
        <w:rPr>
          <w:rFonts w:ascii="Calibri" w:hAnsi="Calibri" w:eastAsia="Calibri"/>
          <w:b/>
          <w:color w:val="1F4788"/>
          <w:sz w:val="24"/>
        </w:rPr>
        <w:t>4.1 Sensus vs app WES (22-09 14:30 → 28-09 08:57)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3399"/>
        <w:gridCol w:w="3399"/>
        <w:gridCol w:w="3399"/>
      </w:tblGrid>
      <w:tr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Sensus vs app WES</w:t>
            </w:r>
          </w:p>
        </w:tc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Lecturas Sensus</w:t>
            </w:r>
          </w:p>
        </w:tc>
        <w:tc>
          <w:tcPr>
            <w:tcW w:type="dxa" w:w="3399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8"/>
              </w:rPr>
              <w:t>Ventana</w:t>
            </w:r>
          </w:p>
        </w:tc>
      </w:tr>
      <w:tr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Error 18.8 %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81 / 65,80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5.144 → 5.225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Δ 81 m³</w:t>
            </w:r>
          </w:p>
        </w:tc>
        <w:tc>
          <w:tcPr>
            <w:tcW w:type="dxa" w:w="3399"/>
            <w:shd w:fill="E8F5E9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B5E20"/>
                <w:sz w:val="24"/>
              </w:rPr>
              <w:t>22 → 28/09/2026</w:t>
              <w:br/>
            </w:r>
            <w:r>
              <w:rPr>
                <w:rFonts w:ascii="Calibri" w:hAnsi="Calibri" w:eastAsia="Calibri"/>
                <w:b w:val="0"/>
                <w:color w:val="646E78"/>
                <w:sz w:val="16"/>
              </w:rPr>
              <w:t>139 horas app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Una sola validación con lecturas fotográficas Sensus y el consumo de la app WES (hora 14 del 22-09 → hora 08 del 28-09). Incluye el día de intervención de placa.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5098"/>
        <w:gridCol w:w="5098"/>
      </w:tblGrid>
      <w:tr>
        <w:tc>
          <w:tcPr>
            <w:tcW w:type="dxa" w:w="509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409519"/>
                  <wp:docPr id="1" name="Picture 1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ini.jpg"/>
                          <pic:cNvPicPr/>
                        </pic:nvPicPr>
                        <pic:blipFill>
                          <a:blip r:embed="rId8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409519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5098"/>
            <w:shd w:fill="FAFBFC" w:val="clear" w:color="auto"/>
          </w:tcPr>
          <w:p>
            <w:pPr>
              <w:jc w:val="center"/>
            </w:pPr>
            <w:r>
              <w:drawing>
                <wp:inline>
                  <wp:extent cx="3063240" cy="3395900"/>
                  <wp:docPr id="2" name="Picture 2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foto_e5_fin.jpg"/>
                          <pic:cNvPicPr/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63240" cy="33959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</w:tc>
      </w:tr>
      <w:tr>
        <w:tc>
          <w:tcPr>
            <w:tcW w:type="dxa" w:w="509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5.144 m³ · 22-09-2026 14:30</w:t>
            </w:r>
          </w:p>
        </w:tc>
        <w:tc>
          <w:tcPr>
            <w:tcW w:type="dxa" w:w="5098"/>
            <w:shd w:fill="D6E3F0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1F4788"/>
                <w:sz w:val="18"/>
              </w:rPr>
              <w:t>Sensus · 5.225 m³ · 28-09-2026 08:57</w:t>
            </w:r>
          </w:p>
        </w:tc>
      </w:tr>
    </w:tbl>
    <w:p/>
    <w:p>
      <w:r>
        <w:rPr>
          <w:rFonts w:ascii="Calibri" w:hAnsi="Calibri" w:eastAsia="Calibri"/>
          <w:b/>
          <w:color w:val="1F4788"/>
          <w:sz w:val="20"/>
        </w:rPr>
        <w:t>Validación Etapa N°5 — medidor Sensus</w:t>
      </w:r>
    </w:p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D0D5DD"/>
          <w:left w:val="single" w:sz="4" w:space="0" w:color="D0D5DD"/>
          <w:bottom w:val="single" w:sz="4" w:space="0" w:color="D0D5DD"/>
          <w:right w:val="single" w:sz="4" w:space="0" w:color="D0D5DD"/>
          <w:insideH w:val="single" w:sz="4" w:space="0" w:color="D0D5DD"/>
          <w:insideV w:val="single" w:sz="4" w:space="0" w:color="D0D5DD"/>
        </w:tblBorders>
      </w:tblPr>
      <w:tblGrid>
        <w:gridCol w:w="1457"/>
        <w:gridCol w:w="1457"/>
        <w:gridCol w:w="1457"/>
        <w:gridCol w:w="1457"/>
        <w:gridCol w:w="1457"/>
        <w:gridCol w:w="1457"/>
        <w:gridCol w:w="1457"/>
      </w:tblGrid>
      <w:tr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ANÁLISIS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INICIAL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FECHA FINAL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LECTURA (m³)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CONSUMO m³</w:t>
            </w:r>
          </w:p>
        </w:tc>
        <w:tc>
          <w:tcPr>
            <w:tcW w:type="dxa" w:w="1457"/>
            <w:shd w:fill="1F4788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/>
                <w:color w:val="FFFFFF"/>
                <w:sz w:val="16"/>
              </w:rPr>
              <w:t>HORAS</w:t>
            </w:r>
          </w:p>
        </w:tc>
      </w:tr>
      <w:tr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Etapa N°5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22-09-2026</w:t>
              <w:br/>
              <w:t>14:30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5.144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28-09-2026</w:t>
              <w:br/>
              <w:t>08:57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5.225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81</w:t>
            </w:r>
          </w:p>
        </w:tc>
        <w:tc>
          <w:tcPr>
            <w:tcW w:type="dxa" w:w="1457"/>
            <w:shd w:fill="FFFFFF" w:val="clear" w:color="auto"/>
          </w:tcPr>
          <w:p>
            <w:pPr>
              <w:jc w:val="center"/>
            </w:pPr>
            <w:r>
              <w:rPr>
                <w:rFonts w:ascii="Calibri" w:hAnsi="Calibri" w:eastAsia="Calibri"/>
                <w:b w:val="0"/>
                <w:color w:val="282828"/>
                <w:sz w:val="18"/>
              </w:rPr>
              <w:t>139</w:t>
            </w:r>
          </w:p>
        </w:tc>
      </w:tr>
    </w:tbl>
    <w:p/>
    <w:tbl>
      <w:tblPr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1F4788"/>
          <w:left w:val="single" w:sz="4" w:space="0" w:color="1F4788"/>
          <w:bottom w:val="single" w:sz="4" w:space="0" w:color="1F4788"/>
          <w:right w:val="single" w:sz="4" w:space="0" w:color="1F4788"/>
          <w:insideH w:val="single" w:sz="4" w:space="0" w:color="1F4788"/>
          <w:insideV w:val="single" w:sz="4" w:space="0" w:color="1F4788"/>
        </w:tblBorders>
      </w:tblPr>
      <w:tblGrid>
        <w:gridCol w:w="5098"/>
        <w:gridCol w:w="5098"/>
      </w:tblGrid>
      <w:tr>
        <w:tc>
          <w:tcPr>
            <w:tcW w:type="dxa" w:w="509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App WES</w:t>
            </w:r>
          </w:p>
        </w:tc>
        <w:tc>
          <w:tcPr>
            <w:tcW w:type="dxa" w:w="5098"/>
            <w:shd w:fill="FFFFFF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65,80 m³</w:t>
            </w:r>
          </w:p>
        </w:tc>
      </w:tr>
      <w:tr>
        <w:tc>
          <w:tcPr>
            <w:tcW w:type="dxa" w:w="509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Total Lectura Sensus</w:t>
            </w:r>
          </w:p>
        </w:tc>
        <w:tc>
          <w:tcPr>
            <w:tcW w:type="dxa" w:w="5098"/>
            <w:shd w:fill="F5F8FB" w:val="clear" w:color="auto"/>
          </w:tcPr>
          <w:p>
            <w:r>
              <w:rPr>
                <w:rFonts w:ascii="Calibri" w:hAnsi="Calibri" w:eastAsia="Calibri"/>
                <w:b/>
                <w:color w:val="282828"/>
                <w:sz w:val="20"/>
              </w:rPr>
              <w:t>81 m³</w:t>
            </w:r>
          </w:p>
        </w:tc>
      </w:tr>
      <w:tr>
        <w:tc>
          <w:tcPr>
            <w:tcW w:type="dxa" w:w="509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% Error</w:t>
            </w:r>
          </w:p>
        </w:tc>
        <w:tc>
          <w:tcPr>
            <w:tcW w:type="dxa" w:w="5098"/>
            <w:shd w:fill="E8F5E9" w:val="clear" w:color="auto"/>
          </w:tcPr>
          <w:p>
            <w:r>
              <w:rPr>
                <w:rFonts w:ascii="Calibri" w:hAnsi="Calibri" w:eastAsia="Calibri"/>
                <w:b/>
                <w:color w:val="1B5E20"/>
                <w:sz w:val="20"/>
              </w:rPr>
              <w:t>18.8 %</w:t>
            </w:r>
          </w:p>
        </w:tc>
      </w:tr>
    </w:tbl>
    <w:p/>
    <w:p>
      <w:r>
        <w:rPr>
          <w:rFonts w:ascii="Calibri" w:hAnsi="Calibri" w:eastAsia="Calibri"/>
          <w:b w:val="0"/>
          <w:color w:val="282828"/>
          <w:sz w:val="21"/>
        </w:rPr>
        <w:t>Error Sensus vs app: 18.8% (1 − 65,80/81,00). Revisar — diferencia relevante.</w:t>
      </w:r>
    </w:p>
    <w:p>
      <w:pPr>
        <w:spacing w:before="200"/>
      </w:pPr>
      <w:r>
        <w:rPr>
          <w:rFonts w:ascii="Calibri" w:hAnsi="Calibri" w:eastAsia="Calibri"/>
          <w:b/>
          <w:color w:val="1F4788"/>
          <w:sz w:val="28"/>
        </w:rPr>
        <w:t>5. Conclusión</w:t>
      </w:r>
    </w:p>
    <w:p>
      <w:r>
        <w:rPr>
          <w:rFonts w:ascii="Calibri" w:hAnsi="Calibri" w:eastAsia="Calibri"/>
          <w:b w:val="0"/>
          <w:color w:val="282828"/>
          <w:sz w:val="21"/>
        </w:rPr>
        <w:t>Se confirma falla de memoria de placa (sensor y voltajes OK). Validación única 22–28/09: Sensus 81 m³ vs app 65,80 m³ (error 18.8%, Revisar — diferencia relevante). El agente IA revisará diariamente el caudal vs histórico y techo DN90 (60 m³/h).</w:t>
      </w:r>
    </w:p>
    <w:p>
      <w:pPr>
        <w:spacing w:before="160"/>
      </w:pPr>
      <w:r>
        <w:rPr>
          <w:rFonts w:ascii="Calibri" w:hAnsi="Calibri" w:eastAsia="Calibri"/>
          <w:b w:val="0"/>
          <w:color w:val="646E78"/>
          <w:sz w:val="18"/>
        </w:rPr>
        <w:t>WES · Informe final · Fundo Zapallar · 28-09-2026 18:47</w:t>
      </w:r>
    </w:p>
    <w:sectPr>
      <w:pgSz w:h="15840" w:w="12240" w:orient="portrait"/>
      <w:pgMar w:bottom="3989" w:top="811" w:left="960" w:right="1084" w:header="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Georgia"/>
  <w:font w:name="Arial Unicode MS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80" w:before="360" w:lineRule="auto"/>
    </w:pPr>
    <w:rPr>
      <w:b w:val="1"/>
      <w:bCs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280" w:lineRule="auto"/>
    </w:pPr>
    <w:rPr>
      <w:b w:val="1"/>
      <w:bCs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40" w:before="240" w:lineRule="auto"/>
    </w:pPr>
    <w:rPr>
      <w:b w:val="1"/>
      <w:bCs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40" w:before="220" w:lineRule="auto"/>
    </w:pPr>
    <w:rPr>
      <w:b w:val="1"/>
      <w:bCs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40" w:before="200" w:lineRule="auto"/>
    </w:pPr>
    <w:rPr>
      <w:b w:val="1"/>
      <w:bCs w:val="1"/>
      <w:sz w:val="20"/>
      <w:szCs w:val="20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120" w:before="480" w:lineRule="auto"/>
    </w:pPr>
    <w:rPr>
      <w:b w:val="1"/>
      <w:bCs w:val="1"/>
      <w:sz w:val="72"/>
      <w:szCs w:val="7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80" w:before="36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</w:tblPr>
  </w:style>
  <w:style w:type="table" w:styleId="Table2">
    <w:basedOn w:val="TableNormal"/>
    <w:tblPr>
      <w:tblStyleRowBandSize w:val="1"/>
      <w:tblStyleColBandSize w:val="1"/>
    </w:tblPr>
  </w:style>
  <w:style w:type="table" w:styleId="Table3">
    <w:basedOn w:val="TableNormal"/>
    <w:tblPr>
      <w:tblStyleRowBandSize w:val="1"/>
      <w:tblStyleColBandSize w:val="1"/>
    </w:tblPr>
  </w:style>
  <w:style w:type="table" w:styleId="Table4">
    <w:basedOn w:val="TableNormal"/>
    <w:tblPr>
      <w:tblStyleRowBandSize w:val="1"/>
      <w:tblStyleColBandSize w:val="1"/>
    </w:tblPr>
  </w:style>
  <w:style w:type="table" w:styleId="Table5">
    <w:basedOn w:val="TableNormal"/>
    <w:tblPr>
      <w:tblStyleRowBandSize w:val="1"/>
      <w:tblStyleColBandSize w:val="1"/>
    </w:tblPr>
  </w:style>
</w:style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image" Target="media/image1.png"/><Relationship Id="rId7" Type="http://schemas.openxmlformats.org/officeDocument/2006/relationships/image" Target="media/image2.png"/><Relationship Id="rId8" Type="http://schemas.openxmlformats.org/officeDocument/2006/relationships/image" Target="media/image3.jpg"/><Relationship Id="rId9" Type="http://schemas.openxmlformats.org/officeDocument/2006/relationships/image" Target="media/image4.jp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