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BUPA</w:t>
      </w:r>
    </w:p>
    <w:p>
      <w:pPr>
        <w:jc w:val="center"/>
      </w:pPr>
      <w:r>
        <w:t>MONITOREO WES</w:t>
        <w:br/>
        <w:t>Análisis consolidado de 4 puntos de monitoreo</w:t>
        <w:br/>
        <w:t>Rango: 23-07-26 - 11-08-26</w:t>
        <w:br/>
        <w:t>Generado: 13-08-26</w:t>
      </w:r>
    </w:p>
    <w:p>
      <w:pPr>
        <w:pStyle w:val="Heading1"/>
        <w:keepNext/>
        <w:widowControl/>
        <w:spacing w:after="60"/>
      </w:pPr>
      <w:r>
        <w:rPr>
          <w:b/>
          <w:color w:val="003366"/>
        </w:rPr>
        <w:t>RESUMEN EJECUTIVO AGREGADO</w:t>
      </w:r>
    </w:p>
    <w:p>
      <w:r>
        <w:t>Puntos de monitoreo analizados: 4.</w:t>
        <w:br/>
      </w:r>
      <w:r>
        <w:t>Consumo total agregado: 4.027,2 m³.</w:t>
        <w:br/>
      </w:r>
      <w:r>
        <w:t>Consumo promedio por punto: 1.006,8 m³.</w:t>
        <w:br/>
      </w:r>
    </w:p>
    <w:p>
      <w:pPr>
        <w:pStyle w:val="Heading1"/>
        <w:keepNext/>
        <w:widowControl/>
        <w:spacing w:after="60"/>
      </w:pPr>
      <w:r>
        <w:rPr>
          <w:b/>
          <w:color w:val="003366"/>
        </w:rPr>
        <w:t>COMPARACIÓN DE CONSUMO POR PUNTO</w:t>
      </w:r>
    </w:p>
    <w:p>
      <w:pPr>
        <w:jc w:val="both"/>
      </w:pPr>
      <w:r>
        <w:rPr>
          <w:color w:val="000000"/>
        </w:rPr>
        <w:t>Consumo acumulado de cada punto en el periodo (suma de todos los días analizados).</w:t>
      </w:r>
    </w:p>
    <w:p>
      <w:pPr>
        <w:keepNext/>
        <w:widowControl/>
        <w:spacing w:after="60"/>
        <w:jc w:val="center"/>
      </w:pPr>
      <w:r>
        <w:drawing>
          <wp:inline xmlns:a="http://schemas.openxmlformats.org/drawingml/2006/main" xmlns:pic="http://schemas.openxmlformats.org/drawingml/2006/picture">
            <wp:extent cx="5486400" cy="2728248"/>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8248"/>
                    </a:xfrm>
                    <a:prstGeom prst="rect"/>
                  </pic:spPr>
                </pic:pic>
              </a:graphicData>
            </a:graphic>
          </wp:inline>
        </w:drawing>
      </w:r>
    </w:p>
    <w:p/>
    <w:p>
      <w:pPr>
        <w:jc w:val="both"/>
      </w:pPr>
      <w:r>
        <w:rPr>
          <w:color w:val="000000"/>
        </w:rPr>
        <w:t>Bupa Antofagasta registró un consumo total de 4.027,2 m³ en el periodo entre 4 puntos de monitoreo. Los de mayor demanda fueron: Medidor Principal Sanitaria (2.846 m³, 70,7 %), Sala de Bomba Principal (1.032 m³, 25,6 %), Sala de Bomba Sexto Piso (128,8 m³, 3,2 %). El menor consumo correspondió a Sala de Bomba N°2 (20,4 m³, 0,5 % del total).</w:t>
      </w:r>
    </w:p>
    <w:p>
      <w:pPr>
        <w:pStyle w:val="Heading1"/>
        <w:keepNext/>
        <w:widowControl/>
        <w:spacing w:after="60"/>
      </w:pPr>
      <w:r>
        <w:rPr>
          <w:b/>
          <w:color w:val="003366"/>
        </w:rPr>
        <w:t>EVOLUCIÓN DEL CONSUMO DIARIO POR PUNTO</w:t>
      </w:r>
    </w:p>
    <w:p>
      <w:pPr>
        <w:jc w:val="both"/>
      </w:pPr>
      <w:r>
        <w:t>Evolución del consumo diario (m³) de cada punto en el periodo. Solo la curva de consumo.</w:t>
      </w:r>
    </w:p>
    <w:p/>
    <w:p>
      <w:pPr>
        <w:keepNext/>
        <w:widowControl/>
        <w:spacing w:after="60"/>
      </w:pPr>
      <w:r>
        <w:rPr>
          <w:b/>
          <w:color w:val="003366"/>
        </w:rPr>
        <w:t>SALA DE BOMBA PRINCIPAL</w:t>
      </w:r>
    </w:p>
    <w:p>
      <w:pPr>
        <w:keepNext/>
        <w:widowControl/>
        <w:spacing w:after="60"/>
        <w:jc w:val="center"/>
      </w:pPr>
      <w:r>
        <w:drawing>
          <wp:inline xmlns:a="http://schemas.openxmlformats.org/drawingml/2006/main" xmlns:pic="http://schemas.openxmlformats.org/drawingml/2006/picture">
            <wp:extent cx="5486400" cy="2696091"/>
            <wp:docPr id="2" name="Picture 2"/>
            <wp:cNvGraphicFramePr>
              <a:graphicFrameLocks noChangeAspect="1"/>
            </wp:cNvGraphicFramePr>
            <a:graphic>
              <a:graphicData uri="http://schemas.openxmlformats.org/drawingml/2006/picture">
                <pic:pic>
                  <pic:nvPicPr>
                    <pic:cNvPr id="0" name="bupa_antofa_diario_000029_07.png"/>
                    <pic:cNvPicPr/>
                  </pic:nvPicPr>
                  <pic:blipFill>
                    <a:blip r:embed="rId11"/>
                    <a:stretch>
                      <a:fillRect/>
                    </a:stretch>
                  </pic:blipFill>
                  <pic:spPr>
                    <a:xfrm>
                      <a:off x="0" y="0"/>
                      <a:ext cx="5486400" cy="2696091"/>
                    </a:xfrm>
                    <a:prstGeom prst="rect"/>
                  </pic:spPr>
                </pic:pic>
              </a:graphicData>
            </a:graphic>
          </wp:inline>
        </w:drawing>
      </w:r>
    </w:p>
    <w:p/>
    <w:p>
      <w:pPr>
        <w:keepNext/>
        <w:widowControl/>
        <w:spacing w:after="60"/>
      </w:pPr>
      <w:r>
        <w:rPr>
          <w:b/>
          <w:color w:val="003366"/>
        </w:rPr>
        <w:t>SALA DE BOMBA SEXTO PISO</w:t>
      </w:r>
    </w:p>
    <w:p>
      <w:pPr>
        <w:keepNext/>
        <w:widowControl/>
        <w:spacing w:after="60"/>
        <w:jc w:val="center"/>
      </w:pPr>
      <w:r>
        <w:drawing>
          <wp:inline xmlns:a="http://schemas.openxmlformats.org/drawingml/2006/main" xmlns:pic="http://schemas.openxmlformats.org/drawingml/2006/picture">
            <wp:extent cx="5486400" cy="2696091"/>
            <wp:docPr id="3" name="Picture 3"/>
            <wp:cNvGraphicFramePr>
              <a:graphicFrameLocks noChangeAspect="1"/>
            </wp:cNvGraphicFramePr>
            <a:graphic>
              <a:graphicData uri="http://schemas.openxmlformats.org/drawingml/2006/picture">
                <pic:pic>
                  <pic:nvPicPr>
                    <pic:cNvPr id="0" name="bupa_antofa_diario_000029_08.png"/>
                    <pic:cNvPicPr/>
                  </pic:nvPicPr>
                  <pic:blipFill>
                    <a:blip r:embed="rId12"/>
                    <a:stretch>
                      <a:fillRect/>
                    </a:stretch>
                  </pic:blipFill>
                  <pic:spPr>
                    <a:xfrm>
                      <a:off x="0" y="0"/>
                      <a:ext cx="5486400" cy="2696091"/>
                    </a:xfrm>
                    <a:prstGeom prst="rect"/>
                  </pic:spPr>
                </pic:pic>
              </a:graphicData>
            </a:graphic>
          </wp:inline>
        </w:drawing>
      </w:r>
    </w:p>
    <w:p/>
    <w:p>
      <w:pPr>
        <w:keepNext/>
        <w:widowControl/>
        <w:spacing w:after="60"/>
      </w:pPr>
      <w:r>
        <w:rPr>
          <w:b/>
          <w:color w:val="003366"/>
        </w:rPr>
        <w:t>MEDIDOR PRINCIPAL SANITARIA</w:t>
      </w:r>
    </w:p>
    <w:p>
      <w:pPr>
        <w:keepNext/>
        <w:widowControl/>
        <w:spacing w:after="60"/>
        <w:jc w:val="center"/>
      </w:pPr>
      <w:r>
        <w:drawing>
          <wp:inline xmlns:a="http://schemas.openxmlformats.org/drawingml/2006/main" xmlns:pic="http://schemas.openxmlformats.org/drawingml/2006/picture">
            <wp:extent cx="5486400" cy="2697873"/>
            <wp:docPr id="4" name="Picture 4"/>
            <wp:cNvGraphicFramePr>
              <a:graphicFrameLocks noChangeAspect="1"/>
            </wp:cNvGraphicFramePr>
            <a:graphic>
              <a:graphicData uri="http://schemas.openxmlformats.org/drawingml/2006/picture">
                <pic:pic>
                  <pic:nvPicPr>
                    <pic:cNvPr id="0" name="bupa_antofa_diario_000029_09.png"/>
                    <pic:cNvPicPr/>
                  </pic:nvPicPr>
                  <pic:blipFill>
                    <a:blip r:embed="rId13"/>
                    <a:stretch>
                      <a:fillRect/>
                    </a:stretch>
                  </pic:blipFill>
                  <pic:spPr>
                    <a:xfrm>
                      <a:off x="0" y="0"/>
                      <a:ext cx="5486400" cy="2697873"/>
                    </a:xfrm>
                    <a:prstGeom prst="rect"/>
                  </pic:spPr>
                </pic:pic>
              </a:graphicData>
            </a:graphic>
          </wp:inline>
        </w:drawing>
      </w:r>
    </w:p>
    <w:p/>
    <w:p>
      <w:pPr>
        <w:keepNext/>
        <w:widowControl/>
        <w:spacing w:after="60"/>
      </w:pPr>
      <w:r>
        <w:rPr>
          <w:b/>
          <w:color w:val="003366"/>
        </w:rPr>
        <w:t>SALA DE BOMBA N°2</w:t>
      </w:r>
    </w:p>
    <w:p>
      <w:pPr>
        <w:keepNext/>
        <w:widowControl/>
        <w:spacing w:after="60"/>
        <w:jc w:val="center"/>
      </w:pPr>
      <w:r>
        <w:drawing>
          <wp:inline xmlns:a="http://schemas.openxmlformats.org/drawingml/2006/main" xmlns:pic="http://schemas.openxmlformats.org/drawingml/2006/picture">
            <wp:extent cx="5486400" cy="2694311"/>
            <wp:docPr id="5" name="Picture 5"/>
            <wp:cNvGraphicFramePr>
              <a:graphicFrameLocks noChangeAspect="1"/>
            </wp:cNvGraphicFramePr>
            <a:graphic>
              <a:graphicData uri="http://schemas.openxmlformats.org/drawingml/2006/picture">
                <pic:pic>
                  <pic:nvPicPr>
                    <pic:cNvPr id="0" name="bupa_antofa_diario_000029_10.png"/>
                    <pic:cNvPicPr/>
                  </pic:nvPicPr>
                  <pic:blipFill>
                    <a:blip r:embed="rId14"/>
                    <a:stretch>
                      <a:fillRect/>
                    </a:stretch>
                  </pic:blipFill>
                  <pic:spPr>
                    <a:xfrm>
                      <a:off x="0" y="0"/>
                      <a:ext cx="5486400" cy="2694311"/>
                    </a:xfrm>
                    <a:prstGeom prst="rect"/>
                  </pic:spPr>
                </pic:pic>
              </a:graphicData>
            </a:graphic>
          </wp:inline>
        </w:drawing>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TableGrid"/>
        <w:tblW w:type="auto" w:w="0"/>
        <w:tblLook w:firstColumn="1" w:firstRow="1" w:lastColumn="0" w:lastRow="0" w:noHBand="0" w:noVBand="1" w:val="04A0"/>
      </w:tblPr>
      <w:tblGrid>
        <w:gridCol w:w="826"/>
        <w:gridCol w:w="1956"/>
        <w:gridCol w:w="1304"/>
        <w:gridCol w:w="1666"/>
        <w:gridCol w:w="1449"/>
      </w:tblGrid>
      <w:tr>
        <w:trPr>
          <w:cantSplit/>
        </w:trPr>
        <w:tc>
          <w:tcPr>
            <w:tcW w:type="dxa" w:w="1728"/>
            <w:shd w:val="clear" w:fill="003366"/>
          </w:tcPr>
          <w:p>
            <w:pPr>
              <w:spacing w:before="20" w:after="20"/>
            </w:pPr>
            <w:r>
              <w:rPr>
                <w:b/>
                <w:color w:val="FFFFFF"/>
                <w:sz w:val="18"/>
              </w:rPr>
              <w:t>Ranking</w:t>
            </w:r>
          </w:p>
        </w:tc>
        <w:tc>
          <w:tcPr>
            <w:tcW w:type="dxa" w:w="1728"/>
            <w:shd w:val="clear" w:fill="003366"/>
          </w:tcPr>
          <w:p>
            <w:pPr>
              <w:spacing w:before="20" w:after="20"/>
            </w:pPr>
            <w:r>
              <w:rPr>
                <w:b/>
                <w:color w:val="FFFFFF"/>
                <w:sz w:val="18"/>
              </w:rPr>
              <w:t>Dispositivo</w:t>
            </w:r>
          </w:p>
        </w:tc>
        <w:tc>
          <w:tcPr>
            <w:tcW w:type="dxa" w:w="1728"/>
            <w:shd w:val="clear" w:fill="003366"/>
          </w:tcPr>
          <w:p>
            <w:pPr>
              <w:spacing w:before="20" w:after="20"/>
            </w:pPr>
            <w:r>
              <w:rPr>
                <w:b/>
                <w:color w:val="FFFFFF"/>
                <w:sz w:val="18"/>
              </w:rPr>
              <w:t>Consumo total (m³)</w:t>
            </w:r>
          </w:p>
        </w:tc>
        <w:tc>
          <w:tcPr>
            <w:tcW w:type="dxa" w:w="1728"/>
            <w:shd w:val="clear" w:fill="003366"/>
          </w:tcPr>
          <w:p>
            <w:pPr>
              <w:spacing w:before="20" w:after="20"/>
            </w:pPr>
            <w:r>
              <w:rPr>
                <w:b/>
                <w:color w:val="FFFFFF"/>
                <w:sz w:val="18"/>
              </w:rPr>
              <w:t>Consumo nocturno</w:t>
            </w:r>
          </w:p>
        </w:tc>
        <w:tc>
          <w:tcPr>
            <w:tcW w:type="dxa" w:w="1728"/>
            <w:shd w:val="clear" w:fill="003366"/>
          </w:tcPr>
          <w:p>
            <w:pPr>
              <w:spacing w:before="20" w:after="20"/>
            </w:pPr>
            <w:r>
              <w:rPr>
                <w:b/>
                <w:color w:val="FFFFFF"/>
                <w:sz w:val="18"/>
              </w:rPr>
              <w:t>Costo nocturno (CLP)</w:t>
            </w:r>
          </w:p>
        </w:tc>
      </w:tr>
      <w:tr>
        <w:trPr>
          <w:cantSplit/>
        </w:trPr>
        <w:tc>
          <w:tcPr>
            <w:tcW w:type="dxa" w:w="1728"/>
          </w:tcPr>
          <w:p>
            <w:pPr>
              <w:spacing w:before="20" w:after="20"/>
            </w:pPr>
            <w:r>
              <w:rPr>
                <w:sz w:val="16"/>
              </w:rPr>
              <w:t>1</w:t>
            </w:r>
          </w:p>
        </w:tc>
        <w:tc>
          <w:tcPr>
            <w:tcW w:type="dxa" w:w="1728"/>
          </w:tcPr>
          <w:p>
            <w:pPr>
              <w:spacing w:before="20" w:after="20"/>
            </w:pPr>
            <w:r>
              <w:rPr>
                <w:sz w:val="16"/>
              </w:rPr>
              <w:t>Medidor Principal Sanitaria</w:t>
            </w:r>
          </w:p>
        </w:tc>
        <w:tc>
          <w:tcPr>
            <w:tcW w:type="dxa" w:w="1728"/>
          </w:tcPr>
          <w:p>
            <w:pPr>
              <w:spacing w:before="20" w:after="20"/>
            </w:pPr>
            <w:r>
              <w:rPr>
                <w:sz w:val="16"/>
              </w:rPr>
              <w:t>2.846</w:t>
            </w:r>
          </w:p>
        </w:tc>
        <w:tc>
          <w:tcPr>
            <w:tcW w:type="dxa" w:w="1728"/>
          </w:tcPr>
          <w:p>
            <w:pPr>
              <w:spacing w:before="20" w:after="20"/>
              <w:jc w:val="left"/>
            </w:pPr>
            <w:r>
              <w:rPr>
                <w:sz w:val="16"/>
              </w:rPr>
              <w:t>687 m³</w:t>
            </w:r>
          </w:p>
          <w:p>
            <w:pPr>
              <w:jc w:val="left"/>
            </w:pPr>
            <w:r>
              <w:t>(20 días, 100%)</w:t>
            </w:r>
          </w:p>
        </w:tc>
        <w:tc>
          <w:tcPr>
            <w:tcW w:type="dxa" w:w="1728"/>
          </w:tcPr>
          <w:p>
            <w:pPr>
              <w:spacing w:before="20" w:after="20"/>
            </w:pPr>
            <w:r>
              <w:rPr>
                <w:sz w:val="16"/>
              </w:rPr>
              <w:t>$893.087</w:t>
            </w:r>
          </w:p>
        </w:tc>
      </w:tr>
      <w:tr>
        <w:trPr>
          <w:cantSplit/>
        </w:trPr>
        <w:tc>
          <w:tcPr>
            <w:tcW w:type="dxa" w:w="1728"/>
            <w:shd w:val="clear" w:fill="F2F6FC"/>
          </w:tcPr>
          <w:p>
            <w:pPr>
              <w:spacing w:before="20" w:after="20"/>
            </w:pPr>
            <w:r>
              <w:rPr>
                <w:sz w:val="16"/>
              </w:rPr>
              <w:t>2</w:t>
            </w:r>
          </w:p>
        </w:tc>
        <w:tc>
          <w:tcPr>
            <w:tcW w:type="dxa" w:w="1728"/>
            <w:shd w:val="clear" w:fill="F2F6FC"/>
          </w:tcPr>
          <w:p>
            <w:pPr>
              <w:spacing w:before="20" w:after="20"/>
            </w:pPr>
            <w:r>
              <w:rPr>
                <w:sz w:val="16"/>
              </w:rPr>
              <w:t>Sala de Bomba Principal</w:t>
            </w:r>
          </w:p>
        </w:tc>
        <w:tc>
          <w:tcPr>
            <w:tcW w:type="dxa" w:w="1728"/>
            <w:shd w:val="clear" w:fill="F2F6FC"/>
          </w:tcPr>
          <w:p>
            <w:pPr>
              <w:spacing w:before="20" w:after="20"/>
            </w:pPr>
            <w:r>
              <w:rPr>
                <w:sz w:val="16"/>
              </w:rPr>
              <w:t>1.032</w:t>
            </w:r>
          </w:p>
        </w:tc>
        <w:tc>
          <w:tcPr>
            <w:tcW w:type="dxa" w:w="1728"/>
            <w:shd w:val="clear" w:fill="F2F6FC"/>
          </w:tcPr>
          <w:p>
            <w:pPr>
              <w:spacing w:before="20" w:after="20"/>
              <w:jc w:val="left"/>
            </w:pPr>
            <w:r>
              <w:rPr>
                <w:sz w:val="16"/>
              </w:rPr>
              <w:t>198 m³</w:t>
            </w:r>
          </w:p>
          <w:p>
            <w:pPr>
              <w:jc w:val="left"/>
            </w:pPr>
            <w:r>
              <w:t>(20 días, 100%)</w:t>
            </w:r>
          </w:p>
        </w:tc>
        <w:tc>
          <w:tcPr>
            <w:tcW w:type="dxa" w:w="1728"/>
            <w:shd w:val="clear" w:fill="F2F6FC"/>
          </w:tcPr>
          <w:p>
            <w:pPr>
              <w:spacing w:before="20" w:after="20"/>
            </w:pPr>
            <w:r>
              <w:rPr>
                <w:sz w:val="16"/>
              </w:rPr>
              <w:t>$257.361</w:t>
            </w:r>
          </w:p>
        </w:tc>
      </w:tr>
      <w:tr>
        <w:trPr>
          <w:cantSplit/>
        </w:trPr>
        <w:tc>
          <w:tcPr>
            <w:tcW w:type="dxa" w:w="1728"/>
          </w:tcPr>
          <w:p>
            <w:pPr>
              <w:spacing w:before="20" w:after="20"/>
            </w:pPr>
            <w:r>
              <w:rPr>
                <w:sz w:val="16"/>
              </w:rPr>
              <w:t>3</w:t>
            </w:r>
          </w:p>
        </w:tc>
        <w:tc>
          <w:tcPr>
            <w:tcW w:type="dxa" w:w="1728"/>
          </w:tcPr>
          <w:p>
            <w:pPr>
              <w:spacing w:before="20" w:after="20"/>
            </w:pPr>
            <w:r>
              <w:rPr>
                <w:sz w:val="16"/>
              </w:rPr>
              <w:t>Sala de Bomba Sexto Piso</w:t>
            </w:r>
          </w:p>
        </w:tc>
        <w:tc>
          <w:tcPr>
            <w:tcW w:type="dxa" w:w="1728"/>
          </w:tcPr>
          <w:p>
            <w:pPr>
              <w:spacing w:before="20" w:after="20"/>
            </w:pPr>
            <w:r>
              <w:rPr>
                <w:sz w:val="16"/>
              </w:rPr>
              <w:t>128,8</w:t>
            </w:r>
          </w:p>
        </w:tc>
        <w:tc>
          <w:tcPr>
            <w:tcW w:type="dxa" w:w="1728"/>
          </w:tcPr>
          <w:p>
            <w:pPr>
              <w:spacing w:before="20" w:after="20"/>
              <w:jc w:val="left"/>
            </w:pPr>
            <w:r>
              <w:rPr>
                <w:sz w:val="16"/>
              </w:rPr>
              <w:t>31,5 m³</w:t>
            </w:r>
          </w:p>
          <w:p>
            <w:pPr>
              <w:jc w:val="left"/>
            </w:pPr>
            <w:r>
              <w:t>(20 días, 100%)</w:t>
            </w:r>
          </w:p>
        </w:tc>
        <w:tc>
          <w:tcPr>
            <w:tcW w:type="dxa" w:w="1728"/>
          </w:tcPr>
          <w:p>
            <w:pPr>
              <w:spacing w:before="20" w:after="20"/>
            </w:pPr>
            <w:r>
              <w:rPr>
                <w:sz w:val="16"/>
              </w:rPr>
              <w:t>$40.924</w:t>
            </w:r>
          </w:p>
        </w:tc>
      </w:tr>
      <w:tr>
        <w:trPr>
          <w:cantSplit/>
        </w:trPr>
        <w:tc>
          <w:tcPr>
            <w:tcW w:type="dxa" w:w="1728"/>
            <w:shd w:val="clear" w:fill="F2F6FC"/>
          </w:tcPr>
          <w:p>
            <w:pPr>
              <w:spacing w:before="20" w:after="20"/>
            </w:pPr>
            <w:r>
              <w:rPr>
                <w:sz w:val="16"/>
              </w:rPr>
              <w:t>4</w:t>
            </w:r>
          </w:p>
        </w:tc>
        <w:tc>
          <w:tcPr>
            <w:tcW w:type="dxa" w:w="1728"/>
            <w:shd w:val="clear" w:fill="F2F6FC"/>
          </w:tcPr>
          <w:p>
            <w:pPr>
              <w:spacing w:before="20" w:after="20"/>
            </w:pPr>
            <w:r>
              <w:rPr>
                <w:sz w:val="16"/>
              </w:rPr>
              <w:t>Sala de Bomba N°2</w:t>
            </w:r>
          </w:p>
        </w:tc>
        <w:tc>
          <w:tcPr>
            <w:tcW w:type="dxa" w:w="1728"/>
            <w:shd w:val="clear" w:fill="F2F6FC"/>
          </w:tcPr>
          <w:p>
            <w:pPr>
              <w:spacing w:before="20" w:after="20"/>
            </w:pPr>
            <w:r>
              <w:rPr>
                <w:sz w:val="16"/>
              </w:rPr>
              <w:t>20,4</w:t>
            </w:r>
          </w:p>
        </w:tc>
        <w:tc>
          <w:tcPr>
            <w:tcW w:type="dxa" w:w="1728"/>
            <w:shd w:val="clear" w:fill="F2F6FC"/>
          </w:tcPr>
          <w:p>
            <w:pPr>
              <w:spacing w:before="20" w:after="20"/>
              <w:jc w:val="left"/>
            </w:pPr>
            <w:r>
              <w:rPr>
                <w:sz w:val="16"/>
              </w:rPr>
              <w:t>5,4 m³</w:t>
            </w:r>
          </w:p>
          <w:p>
            <w:pPr>
              <w:jc w:val="left"/>
            </w:pPr>
            <w:r>
              <w:t>(20 días, 100%)</w:t>
            </w:r>
          </w:p>
        </w:tc>
        <w:tc>
          <w:tcPr>
            <w:tcW w:type="dxa" w:w="1728"/>
            <w:shd w:val="clear" w:fill="F2F6FC"/>
          </w:tcPr>
          <w:p>
            <w:pPr>
              <w:spacing w:before="20" w:after="20"/>
            </w:pPr>
            <w:r>
              <w:rPr>
                <w:sz w:val="16"/>
              </w:rPr>
              <w:t>$7.020</w:t>
            </w:r>
          </w:p>
        </w:tc>
      </w:tr>
      <w:tr>
        <w:trPr>
          <w:cantSplit/>
        </w:trPr>
        <w:tc>
          <w:tcPr>
            <w:tcW w:type="dxa" w:w="1728"/>
            <w:shd w:val="clear" w:fill="D9E1F2"/>
          </w:tcPr>
          <w:p>
            <w:pPr>
              <w:spacing w:before="20" w:after="20"/>
            </w:pPr>
            <w:r>
              <w:rPr>
                <w:b/>
                <w:sz w:val="16"/>
              </w:rPr>
            </w:r>
          </w:p>
        </w:tc>
        <w:tc>
          <w:tcPr>
            <w:tcW w:type="dxa" w:w="1728"/>
            <w:shd w:val="clear" w:fill="D9E1F2"/>
          </w:tcPr>
          <w:p>
            <w:pPr>
              <w:spacing w:before="20" w:after="20"/>
            </w:pPr>
            <w:r>
              <w:rPr>
                <w:b/>
                <w:sz w:val="16"/>
              </w:rPr>
              <w:t>TOTAL</w:t>
            </w:r>
          </w:p>
        </w:tc>
        <w:tc>
          <w:tcPr>
            <w:tcW w:type="dxa" w:w="1728"/>
            <w:shd w:val="clear" w:fill="D9E1F2"/>
          </w:tcPr>
          <w:p>
            <w:pPr>
              <w:spacing w:before="20" w:after="20"/>
            </w:pPr>
            <w:r>
              <w:rPr>
                <w:b/>
                <w:sz w:val="16"/>
              </w:rPr>
              <w:t>4.027,2</w:t>
            </w:r>
          </w:p>
        </w:tc>
        <w:tc>
          <w:tcPr>
            <w:tcW w:type="dxa" w:w="1728"/>
            <w:shd w:val="clear" w:fill="D9E1F2"/>
          </w:tcPr>
          <w:p>
            <w:pPr>
              <w:spacing w:before="20" w:after="20"/>
            </w:pPr>
            <w:r>
              <w:rPr>
                <w:b/>
                <w:sz w:val="16"/>
              </w:rPr>
              <w:t>921,8 m³</w:t>
            </w:r>
          </w:p>
        </w:tc>
        <w:tc>
          <w:tcPr>
            <w:tcW w:type="dxa" w:w="1728"/>
            <w:shd w:val="clear" w:fill="D9E1F2"/>
          </w:tcPr>
          <w:p>
            <w:pPr>
              <w:spacing w:before="20" w:after="20"/>
            </w:pPr>
            <w:r>
              <w:rPr>
                <w:b/>
                <w:sz w:val="16"/>
              </w:rPr>
              <w:t>$1.198.392</w:t>
            </w:r>
          </w:p>
        </w:tc>
      </w:tr>
    </w:tbl>
    <w:p>
      <w:r>
        <w:br w:type="page"/>
      </w:r>
    </w:p>
    <w:p>
      <w:pPr>
        <w:pStyle w:val="Heading1"/>
        <w:keepNext/>
        <w:widowControl/>
        <w:spacing w:after="60"/>
      </w:pPr>
      <w:r>
        <w:rPr>
          <w:b/>
          <w:color w:val="003366"/>
        </w:rPr>
        <w:t>ANÁLISIS DE CONSUMOS NOCTURNOS</w:t>
      </w:r>
    </w:p>
    <w:p>
      <w:pPr>
        <w:keepNext/>
        <w:widowControl/>
        <w:spacing w:after="40"/>
        <w:jc w:val="both"/>
      </w:pPr>
      <w:r>
        <w:rPr>
          <w:b/>
          <w:color w:val="003366"/>
        </w:rPr>
        <w:t xml:space="preserve">Horario nocturno considerado: </w:t>
      </w:r>
      <w:r>
        <w:rPr>
          <w:sz w:val="18"/>
        </w:rPr>
        <w:t>Se define como consumo nocturno el volumen medido entre las 00:00 y las 06:59 (hora Chile), es decir 7 horas por cada día del periodo. El total nocturno es la suma de esas horas en todos los días con datos — no se extrapola ni proyecta a 30 días.</w:t>
      </w:r>
    </w:p>
    <w:p>
      <w:pPr>
        <w:keepNext/>
        <w:widowControl/>
        <w:spacing w:before="40" w:after="40"/>
        <w:jc w:val="center"/>
      </w:pPr>
      <w:r>
        <w:drawing>
          <wp:inline xmlns:a="http://schemas.openxmlformats.org/drawingml/2006/main" xmlns:pic="http://schemas.openxmlformats.org/drawingml/2006/picture">
            <wp:extent cx="5303520" cy="2194560"/>
            <wp:docPr id="6" name="Picture 6"/>
            <wp:cNvGraphicFramePr>
              <a:graphicFrameLocks noChangeAspect="1"/>
            </wp:cNvGraphicFramePr>
            <a:graphic>
              <a:graphicData uri="http://schemas.openxmlformats.org/drawingml/2006/picture">
                <pic:pic>
                  <pic:nvPicPr>
                    <pic:cNvPr id="0" name="bupa_antofa_consumo_nocturno_periodo.png"/>
                    <pic:cNvPicPr/>
                  </pic:nvPicPr>
                  <pic:blipFill>
                    <a:blip r:embed="rId15"/>
                    <a:stretch>
                      <a:fillRect/>
                    </a:stretch>
                  </pic:blipFill>
                  <pic:spPr>
                    <a:xfrm>
                      <a:off x="0" y="0"/>
                      <a:ext cx="5303520" cy="2194560"/>
                    </a:xfrm>
                    <a:prstGeom prst="rect"/>
                  </pic:spPr>
                </pic:pic>
              </a:graphicData>
            </a:graphic>
          </wp:inline>
        </w:drawing>
      </w:r>
    </w:p>
    <w:p>
      <w:pPr>
        <w:keepNext/>
        <w:widowControl/>
        <w:spacing w:after="60"/>
      </w:pPr>
      <w:r>
        <w:rPr>
          <w:b/>
          <w:color w:val="003366"/>
        </w:rPr>
        <w:t>DETALLE POR PUNTO</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shd w:val="clear" w:fill="003366"/>
          </w:tcPr>
          <w:p>
            <w:pPr>
              <w:keepNext/>
              <w:widowControl/>
              <w:spacing w:before="20" w:after="40"/>
            </w:pPr>
            <w:r>
              <w:rPr>
                <w:b/>
                <w:color w:val="FFFFFF"/>
                <w:sz w:val="18"/>
              </w:rPr>
              <w:t>Punto</w:t>
            </w:r>
          </w:p>
        </w:tc>
        <w:tc>
          <w:tcPr>
            <w:tcW w:type="dxa" w:w="2160"/>
            <w:shd w:val="clear" w:fill="003366"/>
          </w:tcPr>
          <w:p>
            <w:pPr>
              <w:spacing w:before="20" w:after="20"/>
            </w:pPr>
            <w:r>
              <w:rPr>
                <w:b/>
                <w:color w:val="FFFFFF"/>
                <w:sz w:val="18"/>
              </w:rPr>
              <w:t>m³ nocturnos</w:t>
            </w:r>
          </w:p>
        </w:tc>
        <w:tc>
          <w:tcPr>
            <w:tcW w:type="dxa" w:w="2160"/>
            <w:shd w:val="clear" w:fill="003366"/>
          </w:tcPr>
          <w:p>
            <w:pPr>
              <w:spacing w:before="20" w:after="20"/>
            </w:pPr>
            <w:r>
              <w:rPr>
                <w:b/>
                <w:color w:val="FFFFFF"/>
                <w:sz w:val="18"/>
              </w:rPr>
              <w:t>Días 00–06:59</w:t>
            </w:r>
          </w:p>
        </w:tc>
        <w:tc>
          <w:tcPr>
            <w:tcW w:type="dxa" w:w="2160"/>
            <w:shd w:val="clear" w:fill="003366"/>
          </w:tcPr>
          <w:p>
            <w:pPr>
              <w:spacing w:before="20" w:after="20"/>
            </w:pPr>
            <w:r>
              <w:rPr>
                <w:b/>
                <w:color w:val="FFFFFF"/>
                <w:sz w:val="18"/>
              </w:rPr>
              <w:t>Costo (CLP)</w:t>
            </w:r>
          </w:p>
        </w:tc>
      </w:tr>
      <w:tr>
        <w:trPr>
          <w:cantSplit/>
        </w:trPr>
        <w:tc>
          <w:tcPr>
            <w:tcW w:type="dxa" w:w="2160"/>
          </w:tcPr>
          <w:p>
            <w:pPr>
              <w:spacing w:before="20" w:after="20"/>
            </w:pPr>
            <w:r>
              <w:rPr>
                <w:sz w:val="16"/>
              </w:rPr>
              <w:t>Medidor Principal Sanitaria</w:t>
            </w:r>
          </w:p>
        </w:tc>
        <w:tc>
          <w:tcPr>
            <w:tcW w:type="dxa" w:w="2160"/>
          </w:tcPr>
          <w:p>
            <w:pPr>
              <w:spacing w:before="20" w:after="20"/>
            </w:pPr>
            <w:r>
              <w:rPr>
                <w:sz w:val="16"/>
              </w:rPr>
              <w:t>687</w:t>
            </w:r>
          </w:p>
        </w:tc>
        <w:tc>
          <w:tcPr>
            <w:tcW w:type="dxa" w:w="2160"/>
          </w:tcPr>
          <w:p>
            <w:pPr>
              <w:spacing w:before="20" w:after="20"/>
            </w:pPr>
            <w:r>
              <w:rPr>
                <w:sz w:val="16"/>
              </w:rPr>
              <w:t>20</w:t>
            </w:r>
          </w:p>
        </w:tc>
        <w:tc>
          <w:tcPr>
            <w:tcW w:type="dxa" w:w="2160"/>
          </w:tcPr>
          <w:p>
            <w:pPr>
              <w:spacing w:before="20" w:after="20"/>
            </w:pPr>
            <w:r>
              <w:rPr>
                <w:sz w:val="16"/>
              </w:rPr>
              <w:t>$893.087</w:t>
            </w:r>
          </w:p>
        </w:tc>
      </w:tr>
      <w:tr>
        <w:trPr>
          <w:cantSplit/>
        </w:trPr>
        <w:tc>
          <w:tcPr>
            <w:tcW w:type="dxa" w:w="2160"/>
            <w:shd w:val="clear" w:fill="F2F6FC"/>
          </w:tcPr>
          <w:p>
            <w:pPr>
              <w:spacing w:before="20" w:after="20"/>
            </w:pPr>
            <w:r>
              <w:rPr>
                <w:sz w:val="16"/>
              </w:rPr>
              <w:t>Sala de Bomba Principal</w:t>
            </w:r>
          </w:p>
        </w:tc>
        <w:tc>
          <w:tcPr>
            <w:tcW w:type="dxa" w:w="2160"/>
            <w:shd w:val="clear" w:fill="F2F6FC"/>
          </w:tcPr>
          <w:p>
            <w:pPr>
              <w:spacing w:before="20" w:after="20"/>
            </w:pPr>
            <w:r>
              <w:rPr>
                <w:sz w:val="16"/>
              </w:rPr>
              <w:t>198</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$257.361</w:t>
            </w:r>
          </w:p>
        </w:tc>
      </w:tr>
      <w:tr>
        <w:trPr>
          <w:cantSplit/>
        </w:trPr>
        <w:tc>
          <w:tcPr>
            <w:tcW w:type="dxa" w:w="2160"/>
          </w:tcPr>
          <w:p>
            <w:pPr>
              <w:spacing w:before="20" w:after="20"/>
            </w:pPr>
            <w:r>
              <w:rPr>
                <w:sz w:val="16"/>
              </w:rPr>
              <w:t>Sala de Bomba Sexto Piso</w:t>
            </w:r>
          </w:p>
        </w:tc>
        <w:tc>
          <w:tcPr>
            <w:tcW w:type="dxa" w:w="2160"/>
          </w:tcPr>
          <w:p>
            <w:pPr>
              <w:spacing w:before="20" w:after="20"/>
            </w:pPr>
            <w:r>
              <w:rPr>
                <w:sz w:val="16"/>
              </w:rPr>
              <w:t>31,5</w:t>
            </w:r>
          </w:p>
        </w:tc>
        <w:tc>
          <w:tcPr>
            <w:tcW w:type="dxa" w:w="2160"/>
          </w:tcPr>
          <w:p>
            <w:pPr>
              <w:spacing w:before="20" w:after="20"/>
            </w:pPr>
            <w:r>
              <w:rPr>
                <w:sz w:val="16"/>
              </w:rPr>
              <w:t>20</w:t>
            </w:r>
          </w:p>
        </w:tc>
        <w:tc>
          <w:tcPr>
            <w:tcW w:type="dxa" w:w="2160"/>
          </w:tcPr>
          <w:p>
            <w:pPr>
              <w:spacing w:before="20" w:after="20"/>
            </w:pPr>
            <w:r>
              <w:rPr>
                <w:sz w:val="16"/>
              </w:rPr>
              <w:t>$40.924</w:t>
            </w:r>
          </w:p>
        </w:tc>
      </w:tr>
      <w:tr>
        <w:trPr>
          <w:cantSplit/>
        </w:trPr>
        <w:tc>
          <w:tcPr>
            <w:tcW w:type="dxa" w:w="2160"/>
            <w:shd w:val="clear" w:fill="F2F6FC"/>
          </w:tcPr>
          <w:p>
            <w:pPr>
              <w:spacing w:before="20" w:after="20"/>
            </w:pPr>
            <w:r>
              <w:rPr>
                <w:sz w:val="16"/>
              </w:rPr>
              <w:t>Sala de Bomba N°2</w:t>
            </w:r>
          </w:p>
        </w:tc>
        <w:tc>
          <w:tcPr>
            <w:tcW w:type="dxa" w:w="2160"/>
            <w:shd w:val="clear" w:fill="F2F6FC"/>
          </w:tcPr>
          <w:p>
            <w:pPr>
              <w:spacing w:before="20" w:after="20"/>
            </w:pPr>
            <w:r>
              <w:rPr>
                <w:sz w:val="16"/>
              </w:rPr>
              <w:t>5,4</w:t>
            </w:r>
          </w:p>
        </w:tc>
        <w:tc>
          <w:tcPr>
            <w:tcW w:type="dxa" w:w="2160"/>
            <w:shd w:val="clear" w:fill="F2F6FC"/>
          </w:tcPr>
          <w:p>
            <w:pPr>
              <w:spacing w:before="20" w:after="20"/>
            </w:pPr>
            <w:r>
              <w:rPr>
                <w:sz w:val="16"/>
              </w:rPr>
              <w:t>20</w:t>
            </w:r>
          </w:p>
        </w:tc>
        <w:tc>
          <w:tcPr>
            <w:tcW w:type="dxa" w:w="2160"/>
            <w:shd w:val="clear" w:fill="F2F6FC"/>
          </w:tcPr>
          <w:p>
            <w:pPr>
              <w:spacing w:before="20" w:after="20"/>
            </w:pPr>
            <w:r>
              <w:rPr>
                <w:sz w:val="16"/>
              </w:rPr>
              <w:t>$7.020</w:t>
            </w:r>
          </w:p>
        </w:tc>
      </w:tr>
      <w:tr>
        <w:trPr>
          <w:cantSplit/>
        </w:trPr>
        <w:tc>
          <w:tcPr>
            <w:tcW w:type="dxa" w:w="2160"/>
            <w:shd w:val="clear" w:fill="D9E1F2"/>
          </w:tcPr>
          <w:p>
            <w:pPr>
              <w:spacing w:before="20" w:after="20"/>
            </w:pPr>
            <w:r>
              <w:rPr>
                <w:b/>
                <w:sz w:val="16"/>
              </w:rPr>
              <w:t>Total Bupa Antofagasta (periodo):</w:t>
            </w:r>
          </w:p>
        </w:tc>
        <w:tc>
          <w:tcPr>
            <w:tcW w:type="dxa" w:w="2160"/>
            <w:shd w:val="clear" w:fill="D9E1F2"/>
          </w:tcPr>
          <w:p>
            <w:pPr>
              <w:spacing w:before="20" w:after="20"/>
            </w:pPr>
            <w:r>
              <w:rPr>
                <w:b/>
                <w:sz w:val="16"/>
              </w:rPr>
              <w:t>921,8</w:t>
            </w:r>
          </w:p>
        </w:tc>
        <w:tc>
          <w:tcPr>
            <w:tcW w:type="dxa" w:w="2160"/>
            <w:shd w:val="clear" w:fill="D9E1F2"/>
          </w:tcPr>
          <w:p>
            <w:pPr>
              <w:spacing w:before="20" w:after="20"/>
            </w:pPr>
            <w:r>
              <w:rPr>
                <w:b/>
                <w:sz w:val="16"/>
              </w:rPr>
            </w:r>
          </w:p>
        </w:tc>
        <w:tc>
          <w:tcPr>
            <w:tcW w:type="dxa" w:w="2160"/>
            <w:shd w:val="clear" w:fill="D9E1F2"/>
          </w:tcPr>
          <w:p>
            <w:pPr>
              <w:spacing w:before="20" w:after="20"/>
            </w:pPr>
            <w:r>
              <w:rPr>
                <w:b/>
                <w:sz w:val="16"/>
              </w:rPr>
              <w:t>$1.198.392</w:t>
            </w:r>
          </w:p>
        </w:tc>
      </w:tr>
    </w:tbl>
    <w:p>
      <w:pPr>
        <w:keepNext/>
        <w:widowControl/>
        <w:spacing w:after="60"/>
      </w:pPr>
      <w:r>
        <w:rPr>
          <w:b/>
          <w:color w:val="003366"/>
        </w:rPr>
        <w:t>CONCLUSIÓN — CONSUMO NOCTURNO</w:t>
      </w:r>
    </w:p>
    <w:p>
      <w:pPr>
        <w:spacing w:before="40"/>
        <w:jc w:val="both"/>
      </w:pPr>
      <w:r>
        <w:rPr>
          <w:color w:val="000000"/>
          <w:sz w:val="20"/>
        </w:rPr>
        <w:t>Durante los 20 días del periodo, Bupa Antofagasta registró un total de 921,8 m³ en horario nocturno (Medidor Principal Sanitaria (687 m³), Sala de Bomba Principal (198 m³), Sala de Bomba Sexto Piso (31,5 m³) y 5,4 m³ en los demás puntos), equivalente a $1.198.392 al precio de referencia del servicio. Ese volumen corresponde a agua consumida en madrugada cuando la operación debería ser mínima; un sistema de monitoreo y regulación WES permite detectar y reducir esos caudales, mejorando el control del recurso y el costo asociado.</w:t>
      </w:r>
    </w:p>
    <w:p>
      <w:pPr>
        <w:pStyle w:val="Heading1"/>
        <w:keepNext/>
        <w:widowControl/>
        <w:spacing w:after="60"/>
      </w:pPr>
      <w:r>
        <w:rPr>
          <w:b/>
          <w:color w:val="003366"/>
        </w:rPr>
        <w:t>COMPARATIVO DEL MES (NOCTURNO VS EFECTIVO)</w:t>
      </w:r>
    </w:p>
    <w:p>
      <w:pPr>
        <w:jc w:val="both"/>
      </w:pPr>
      <w:r>
        <w:t>Proyección a 30 días a partir del periodo (20 días): nocturno proyectado 1.382,8 m³ ($1.797.588) y consumo efectivo 4.658,1 m³ ($6.055.530).</w:t>
      </w:r>
    </w:p>
    <w:p>
      <w:pPr>
        <w:keepNext/>
        <w:widowControl/>
        <w:spacing w:after="60"/>
        <w:jc w:val="center"/>
      </w:pPr>
      <w:r>
        <w:drawing>
          <wp:inline xmlns:a="http://schemas.openxmlformats.org/drawingml/2006/main" xmlns:pic="http://schemas.openxmlformats.org/drawingml/2006/picture">
            <wp:extent cx="4114800" cy="2511360"/>
            <wp:docPr id="7" name="Picture 7"/>
            <wp:cNvGraphicFramePr>
              <a:graphicFrameLocks noChangeAspect="1"/>
            </wp:cNvGraphicFramePr>
            <a:graphic>
              <a:graphicData uri="http://schemas.openxmlformats.org/drawingml/2006/picture">
                <pic:pic>
                  <pic:nvPicPr>
                    <pic:cNvPr id="0" name="chart_comparacion_mensual_extra.png"/>
                    <pic:cNvPicPr/>
                  </pic:nvPicPr>
                  <pic:blipFill>
                    <a:blip r:embed="rId16"/>
                    <a:stretch>
                      <a:fillRect/>
                    </a:stretch>
                  </pic:blipFill>
                  <pic:spPr>
                    <a:xfrm>
                      <a:off x="0" y="0"/>
                      <a:ext cx="4114800" cy="2511360"/>
                    </a:xfrm>
                    <a:prstGeom prst="rect"/>
                  </pic:spPr>
                </pic:pic>
              </a:graphicData>
            </a:graphic>
          </wp:inline>
        </w:drawing>
      </w:r>
    </w:p>
    <w:p>
      <w:pPr>
        <w:pStyle w:val="Heading1"/>
        <w:keepNext/>
        <w:widowControl/>
        <w:spacing w:after="60"/>
      </w:pPr>
      <w:r>
        <w:rPr>
          <w:b/>
          <w:color w:val="003366"/>
        </w:rPr>
        <w:t>COMPARATIVO ÚLTIMOS 6 MESES</w:t>
      </w:r>
    </w:p>
    <w:p>
      <w:pPr>
        <w:jc w:val="both"/>
      </w:pPr>
      <w:r>
        <w:t>Consumo mensual del Medidor Principal Sanitaria (cuenta de agua de la clínica). Los meses marcados con * corresponden a tramos parciales del periodo de este reporte (desde 23/07/2026 hasta 11/08/2026). En el periodo, la cuenta registró 2.846 m³.</w:t>
      </w:r>
    </w:p>
    <w:p>
      <w:pPr>
        <w:keepNext/>
        <w:widowControl/>
        <w:spacing w:after="60"/>
        <w:jc w:val="center"/>
      </w:pPr>
      <w:r>
        <w:drawing>
          <wp:inline xmlns:a="http://schemas.openxmlformats.org/drawingml/2006/main" xmlns:pic="http://schemas.openxmlformats.org/drawingml/2006/picture">
            <wp:extent cx="5486400" cy="2992897"/>
            <wp:docPr id="8" name="Picture 8"/>
            <wp:cNvGraphicFramePr>
              <a:graphicFrameLocks noChangeAspect="1"/>
            </wp:cNvGraphicFramePr>
            <a:graphic>
              <a:graphicData uri="http://schemas.openxmlformats.org/drawingml/2006/picture">
                <pic:pic>
                  <pic:nvPicPr>
                    <pic:cNvPr id="0" name="chart_ultimos_6_meses.png"/>
                    <pic:cNvPicPr/>
                  </pic:nvPicPr>
                  <pic:blipFill>
                    <a:blip r:embed="rId17"/>
                    <a:stretch>
                      <a:fillRect/>
                    </a:stretch>
                  </pic:blipFill>
                  <pic:spPr>
                    <a:xfrm>
                      <a:off x="0" y="0"/>
                      <a:ext cx="5486400" cy="2992897"/>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rPr>
          <w:cantSplit/>
        </w:trPr>
        <w:tc>
          <w:tcPr>
            <w:tcW w:type="dxa" w:w="4320"/>
            <w:shd w:val="clear" w:fill="003366"/>
          </w:tcPr>
          <w:p>
            <w:pPr>
              <w:spacing w:before="20" w:after="20"/>
            </w:pPr>
            <w:r>
              <w:rPr>
                <w:b/>
                <w:color w:val="FFFFFF"/>
                <w:sz w:val="18"/>
              </w:rPr>
              <w:t>Mes</w:t>
            </w:r>
          </w:p>
        </w:tc>
        <w:tc>
          <w:tcPr>
            <w:tcW w:type="dxa" w:w="4320"/>
            <w:shd w:val="clear" w:fill="003366"/>
          </w:tcPr>
          <w:p>
            <w:pPr>
              <w:spacing w:before="20" w:after="20"/>
            </w:pPr>
            <w:r>
              <w:rPr>
                <w:b/>
                <w:color w:val="FFFFFF"/>
                <w:sz w:val="18"/>
              </w:rPr>
              <w:t>Cuenta Sanitaria (m³)</w:t>
            </w:r>
          </w:p>
        </w:tc>
      </w:tr>
      <w:tr>
        <w:trPr>
          <w:cantSplit/>
        </w:trPr>
        <w:tc>
          <w:tcPr>
            <w:tcW w:type="dxa" w:w="4320"/>
          </w:tcPr>
          <w:p>
            <w:pPr>
              <w:spacing w:before="20" w:after="20"/>
            </w:pPr>
            <w:r>
              <w:rPr>
                <w:sz w:val="16"/>
              </w:rPr>
              <w:t>2026-03</w:t>
            </w:r>
          </w:p>
        </w:tc>
        <w:tc>
          <w:tcPr>
            <w:tcW w:type="dxa" w:w="4320"/>
          </w:tcPr>
          <w:p>
            <w:pPr>
              <w:spacing w:before="20" w:after="20"/>
            </w:pPr>
            <w:r>
              <w:rPr>
                <w:sz w:val="16"/>
              </w:rPr>
              <w:t>0</w:t>
            </w:r>
          </w:p>
        </w:tc>
      </w:tr>
      <w:tr>
        <w:trPr>
          <w:cantSplit/>
        </w:trPr>
        <w:tc>
          <w:tcPr>
            <w:tcW w:type="dxa" w:w="4320"/>
            <w:shd w:val="clear" w:fill="F2F6FC"/>
          </w:tcPr>
          <w:p>
            <w:pPr>
              <w:spacing w:before="20" w:after="20"/>
            </w:pPr>
            <w:r>
              <w:rPr>
                <w:sz w:val="16"/>
              </w:rPr>
              <w:t>2026-04</w:t>
            </w:r>
          </w:p>
        </w:tc>
        <w:tc>
          <w:tcPr>
            <w:tcW w:type="dxa" w:w="4320"/>
            <w:shd w:val="clear" w:fill="F2F6FC"/>
          </w:tcPr>
          <w:p>
            <w:pPr>
              <w:spacing w:before="20" w:after="20"/>
            </w:pPr>
            <w:r>
              <w:rPr>
                <w:sz w:val="16"/>
              </w:rPr>
              <w:t>0</w:t>
            </w:r>
          </w:p>
        </w:tc>
      </w:tr>
      <w:tr>
        <w:trPr>
          <w:cantSplit/>
        </w:trPr>
        <w:tc>
          <w:tcPr>
            <w:tcW w:type="dxa" w:w="4320"/>
          </w:tcPr>
          <w:p>
            <w:pPr>
              <w:spacing w:before="20" w:after="20"/>
            </w:pPr>
            <w:r>
              <w:rPr>
                <w:sz w:val="16"/>
              </w:rPr>
              <w:t>2026-05</w:t>
            </w:r>
          </w:p>
        </w:tc>
        <w:tc>
          <w:tcPr>
            <w:tcW w:type="dxa" w:w="4320"/>
          </w:tcPr>
          <w:p>
            <w:pPr>
              <w:spacing w:before="20" w:after="20"/>
            </w:pPr>
            <w:r>
              <w:rPr>
                <w:sz w:val="16"/>
              </w:rPr>
              <w:t>0</w:t>
            </w:r>
          </w:p>
        </w:tc>
      </w:tr>
      <w:tr>
        <w:trPr>
          <w:cantSplit/>
        </w:trPr>
        <w:tc>
          <w:tcPr>
            <w:tcW w:type="dxa" w:w="4320"/>
            <w:shd w:val="clear" w:fill="F2F6FC"/>
          </w:tcPr>
          <w:p>
            <w:pPr>
              <w:spacing w:before="20" w:after="20"/>
            </w:pPr>
            <w:r>
              <w:rPr>
                <w:sz w:val="16"/>
              </w:rPr>
              <w:t>2026-06</w:t>
            </w:r>
          </w:p>
        </w:tc>
        <w:tc>
          <w:tcPr>
            <w:tcW w:type="dxa" w:w="4320"/>
            <w:shd w:val="clear" w:fill="F2F6FC"/>
          </w:tcPr>
          <w:p>
            <w:pPr>
              <w:spacing w:before="20" w:after="20"/>
            </w:pPr>
            <w:r>
              <w:rPr>
                <w:sz w:val="16"/>
              </w:rPr>
              <w:t>0</w:t>
            </w:r>
          </w:p>
        </w:tc>
      </w:tr>
      <w:tr>
        <w:trPr>
          <w:cantSplit/>
        </w:trPr>
        <w:tc>
          <w:tcPr>
            <w:tcW w:type="dxa" w:w="4320"/>
          </w:tcPr>
          <w:p>
            <w:pPr>
              <w:spacing w:before="20" w:after="20"/>
            </w:pPr>
            <w:r>
              <w:rPr>
                <w:sz w:val="16"/>
              </w:rPr>
              <w:t>2026-07*</w:t>
            </w:r>
          </w:p>
        </w:tc>
        <w:tc>
          <w:tcPr>
            <w:tcW w:type="dxa" w:w="4320"/>
          </w:tcPr>
          <w:p>
            <w:pPr>
              <w:spacing w:before="20" w:after="20"/>
            </w:pPr>
            <w:r>
              <w:rPr>
                <w:sz w:val="16"/>
              </w:rPr>
              <w:t>1.773,2</w:t>
            </w:r>
          </w:p>
        </w:tc>
      </w:tr>
      <w:tr>
        <w:trPr>
          <w:cantSplit/>
        </w:trPr>
        <w:tc>
          <w:tcPr>
            <w:tcW w:type="dxa" w:w="4320"/>
            <w:shd w:val="clear" w:fill="F2F6FC"/>
          </w:tcPr>
          <w:p>
            <w:pPr>
              <w:spacing w:before="20" w:after="20"/>
            </w:pPr>
            <w:r>
              <w:rPr>
                <w:sz w:val="16"/>
              </w:rPr>
              <w:t>2026-08*</w:t>
            </w:r>
          </w:p>
        </w:tc>
        <w:tc>
          <w:tcPr>
            <w:tcW w:type="dxa" w:w="4320"/>
            <w:shd w:val="clear" w:fill="F2F6FC"/>
          </w:tcPr>
          <w:p>
            <w:pPr>
              <w:spacing w:before="20" w:after="20"/>
            </w:pPr>
            <w:r>
              <w:rPr>
                <w:sz w:val="16"/>
              </w:rPr>
              <w:t>1.072,8</w:t>
            </w:r>
          </w:p>
        </w:tc>
      </w:tr>
    </w:tbl>
    <w:p>
      <w:pPr>
        <w:pStyle w:val="Heading1"/>
        <w:keepNext/>
        <w:widowControl/>
        <w:spacing w:after="60"/>
      </w:pPr>
      <w:r>
        <w:rPr>
          <w:b/>
          <w:color w:val="003366"/>
        </w:rPr>
        <w:t>PROYECCIÓN DE CIERRE DE AGOSTO Y EFECTO DE LA MEJORA</w:t>
      </w:r>
    </w:p>
    <w:p>
      <w:pPr>
        <w:jc w:val="both"/>
      </w:pPr>
      <w:r>
        <w:rPr>
          <w:b/>
        </w:rPr>
        <w:t xml:space="preserve">Hito 29/07/2026: </w:t>
      </w:r>
      <w:r>
        <w:t>en los gráficos diarios (punto verde) se marca la fecha en que el consumo de la cuenta bajó de forma nítida. Ese día el Medidor Principal Sanitaria pasó de un ritmo cercano a 245,2 m³/día (promedio 23/07/2026–28/07/2026) a unos 98,2 m³/día (promedio 29/07/2026–11/08/2026), una reducción del orden del 60 %. Esta bajada se asocia a una mejora ejecutada por el equipo de mantención, a partir de la información de consumo que entrega WES.</w:t>
      </w:r>
    </w:p>
    <w:p>
      <w:pPr>
        <w:keepNext/>
        <w:widowControl/>
        <w:spacing w:after="60"/>
      </w:pPr>
      <w:r>
        <w:rPr>
          <w:b/>
          <w:color w:val="003366"/>
        </w:rPr>
        <w:t>PROYECCIÓN MENSUAL — CIERRE DE AGOSTO 2026</w:t>
      </w:r>
    </w:p>
    <w:p>
      <w:pPr>
        <w:jc w:val="both"/>
      </w:pPr>
      <w:r>
        <w:t>Para cerrar la cuenta de agosto se usa el consumo ya registrado (01/08–11/08/2026) y se proyectan los 20 días restantes al ritmo posterior a la mejora. En paralelo se muestra qué habría sido el mes si se hubiera mantenido el consumo previo a la intervención.</w:t>
      </w:r>
    </w:p>
    <w:p/>
    <w:p>
      <w:pPr>
        <w:keepNext/>
        <w:widowControl/>
        <w:spacing w:after="60"/>
      </w:pPr>
      <w:r>
        <w:rPr>
          <w:b/>
          <w:color w:val="003366"/>
        </w:rPr>
        <w:t>PROYECCIÓN / AHORRO AGOSTO</w:t>
      </w:r>
    </w:p>
    <w:tbl>
      <w:tblPr>
        <w:tblStyle w:val="TableGrid"/>
        <w:tblW w:type="auto" w:w="0"/>
        <w:tblLook w:firstColumn="1" w:firstRow="1" w:lastColumn="0" w:lastRow="0" w:noHBand="0" w:noVBand="1" w:val="04A0"/>
      </w:tblPr>
      <w:tblGrid>
        <w:gridCol w:w="3052"/>
        <w:gridCol w:w="1221"/>
        <w:gridCol w:w="2645"/>
        <w:gridCol w:w="1221"/>
        <w:gridCol w:w="1221"/>
      </w:tblGrid>
      <w:tr>
        <w:trPr>
          <w:cantSplit/>
        </w:trPr>
        <w:tc>
          <w:tcPr>
            <w:tcW w:type="dxa" w:w="1728"/>
            <w:shd w:val="clear" w:fill="003366"/>
          </w:tcPr>
          <w:p>
            <w:pPr>
              <w:spacing w:before="20" w:after="20"/>
            </w:pPr>
            <w:r>
              <w:rPr>
                <w:b/>
                <w:color w:val="FFFFFF"/>
                <w:sz w:val="18"/>
              </w:rPr>
              <w:t>Concepto</w:t>
            </w:r>
          </w:p>
        </w:tc>
        <w:tc>
          <w:tcPr>
            <w:tcW w:type="dxa" w:w="1728"/>
            <w:shd w:val="clear" w:fill="003366"/>
          </w:tcPr>
          <w:p>
            <w:pPr>
              <w:spacing w:before="20" w:after="20"/>
            </w:pPr>
            <w:r>
              <w:rPr>
                <w:b/>
                <w:color w:val="FFFFFF"/>
                <w:sz w:val="18"/>
              </w:rPr>
              <w:t>m³ / día</w:t>
            </w:r>
          </w:p>
        </w:tc>
        <w:tc>
          <w:tcPr>
            <w:tcW w:type="dxa" w:w="1728"/>
            <w:shd w:val="clear" w:fill="003366"/>
          </w:tcPr>
          <w:p>
            <w:pPr>
              <w:spacing w:before="20" w:after="20"/>
            </w:pPr>
            <w:r>
              <w:rPr>
                <w:b/>
                <w:color w:val="FFFFFF"/>
                <w:sz w:val="18"/>
              </w:rPr>
              <w:t>Base de cálculo</w:t>
            </w:r>
          </w:p>
        </w:tc>
        <w:tc>
          <w:tcPr>
            <w:tcW w:type="dxa" w:w="1728"/>
            <w:shd w:val="clear" w:fill="003366"/>
          </w:tcPr>
          <w:p>
            <w:pPr>
              <w:spacing w:before="20" w:after="20"/>
            </w:pPr>
            <w:r>
              <w:rPr>
                <w:b/>
                <w:color w:val="FFFFFF"/>
                <w:sz w:val="18"/>
              </w:rPr>
              <w:t>Total agosto (m³)</w:t>
            </w:r>
          </w:p>
        </w:tc>
        <w:tc>
          <w:tcPr>
            <w:tcW w:type="dxa" w:w="1728"/>
            <w:shd w:val="clear" w:fill="003366"/>
          </w:tcPr>
          <w:p>
            <w:pPr>
              <w:spacing w:before="20" w:after="20"/>
            </w:pPr>
            <w:r>
              <w:rPr>
                <w:b/>
                <w:color w:val="FFFFFF"/>
                <w:sz w:val="18"/>
              </w:rPr>
              <w:t>Valorizado (CLP)</w:t>
            </w:r>
          </w:p>
        </w:tc>
      </w:tr>
      <w:tr>
        <w:trPr>
          <w:cantSplit/>
        </w:trPr>
        <w:tc>
          <w:tcPr>
            <w:tcW w:type="dxa" w:w="1728"/>
          </w:tcPr>
          <w:p>
            <w:pPr>
              <w:spacing w:before="20" w:after="20"/>
            </w:pPr>
            <w:r>
              <w:rPr>
                <w:sz w:val="16"/>
              </w:rPr>
              <w:t>Ritmo antes de la mejora</w:t>
            </w:r>
          </w:p>
        </w:tc>
        <w:tc>
          <w:tcPr>
            <w:tcW w:type="dxa" w:w="1728"/>
          </w:tcPr>
          <w:p>
            <w:pPr>
              <w:spacing w:before="20" w:after="20"/>
            </w:pPr>
            <w:r>
              <w:rPr>
                <w:sz w:val="16"/>
              </w:rPr>
              <w:t>245,2</w:t>
            </w:r>
          </w:p>
        </w:tc>
        <w:tc>
          <w:tcPr>
            <w:tcW w:type="dxa" w:w="1728"/>
          </w:tcPr>
          <w:p>
            <w:pPr>
              <w:spacing w:before="20" w:after="20"/>
            </w:pPr>
            <w:r>
              <w:rPr>
                <w:sz w:val="16"/>
              </w:rPr>
              <w:t>23/07/2026–28/07/2026 (6 días)</w:t>
            </w:r>
          </w:p>
        </w:tc>
        <w:tc>
          <w:tcPr>
            <w:tcW w:type="dxa" w:w="1728"/>
          </w:tcPr>
          <w:p>
            <w:pPr>
              <w:spacing w:before="20" w:after="20"/>
            </w:pPr>
            <w:r>
              <w:rPr>
                <w:sz w:val="16"/>
              </w:rPr>
              <w:t>7.601</w:t>
            </w:r>
          </w:p>
        </w:tc>
        <w:tc>
          <w:tcPr>
            <w:tcW w:type="dxa" w:w="1728"/>
          </w:tcPr>
          <w:p>
            <w:pPr>
              <w:spacing w:before="20" w:after="20"/>
            </w:pPr>
            <w:r>
              <w:rPr>
                <w:sz w:val="16"/>
              </w:rPr>
              <w:t>$9.881.829</w:t>
            </w:r>
          </w:p>
        </w:tc>
      </w:tr>
      <w:tr>
        <w:trPr>
          <w:cantSplit/>
        </w:trPr>
        <w:tc>
          <w:tcPr>
            <w:tcW w:type="dxa" w:w="1728"/>
            <w:shd w:val="clear" w:fill="F2F6FC"/>
          </w:tcPr>
          <w:p>
            <w:pPr>
              <w:spacing w:before="20" w:after="20"/>
            </w:pPr>
            <w:r>
              <w:rPr>
                <w:sz w:val="16"/>
              </w:rPr>
              <w:t>Ritmo después de la mejora</w:t>
            </w:r>
          </w:p>
        </w:tc>
        <w:tc>
          <w:tcPr>
            <w:tcW w:type="dxa" w:w="1728"/>
            <w:shd w:val="clear" w:fill="F2F6FC"/>
          </w:tcPr>
          <w:p>
            <w:pPr>
              <w:spacing w:before="20" w:after="20"/>
            </w:pPr>
            <w:r>
              <w:rPr>
                <w:sz w:val="16"/>
              </w:rPr>
              <w:t>98,2</w:t>
            </w:r>
          </w:p>
        </w:tc>
        <w:tc>
          <w:tcPr>
            <w:tcW w:type="dxa" w:w="1728"/>
            <w:shd w:val="clear" w:fill="F2F6FC"/>
          </w:tcPr>
          <w:p>
            <w:pPr>
              <w:spacing w:before="20" w:after="20"/>
            </w:pPr>
            <w:r>
              <w:rPr>
                <w:sz w:val="16"/>
              </w:rPr>
              <w:t>29/07/2026–11/08/2026 (14 días)</w:t>
            </w:r>
          </w:p>
        </w:tc>
        <w:tc>
          <w:tcPr>
            <w:tcW w:type="dxa" w:w="1728"/>
            <w:shd w:val="clear" w:fill="F2F6FC"/>
          </w:tcPr>
          <w:p>
            <w:pPr>
              <w:spacing w:before="20" w:after="20"/>
            </w:pPr>
            <w:r>
              <w:rPr>
                <w:sz w:val="16"/>
              </w:rPr>
              <w:t>—</w:t>
            </w:r>
          </w:p>
        </w:tc>
        <w:tc>
          <w:tcPr>
            <w:tcW w:type="dxa" w:w="1728"/>
            <w:shd w:val="clear" w:fill="F2F6FC"/>
          </w:tcPr>
          <w:p>
            <w:pPr>
              <w:spacing w:before="20" w:after="20"/>
            </w:pPr>
            <w:r>
              <w:rPr>
                <w:sz w:val="16"/>
              </w:rPr>
              <w:t>—</w:t>
            </w:r>
          </w:p>
        </w:tc>
      </w:tr>
      <w:tr>
        <w:trPr>
          <w:cantSplit/>
        </w:trPr>
        <w:tc>
          <w:tcPr>
            <w:tcW w:type="dxa" w:w="1728"/>
          </w:tcPr>
          <w:p>
            <w:pPr>
              <w:spacing w:before="20" w:after="20"/>
            </w:pPr>
            <w:r>
              <w:rPr>
                <w:sz w:val="16"/>
              </w:rPr>
              <w:t>Ya consumido en agosto</w:t>
            </w:r>
          </w:p>
        </w:tc>
        <w:tc>
          <w:tcPr>
            <w:tcW w:type="dxa" w:w="1728"/>
          </w:tcPr>
          <w:p>
            <w:pPr>
              <w:spacing w:before="20" w:after="20"/>
            </w:pPr>
            <w:r>
              <w:rPr>
                <w:sz w:val="16"/>
              </w:rPr>
              <w:t>97,5</w:t>
            </w:r>
          </w:p>
        </w:tc>
        <w:tc>
          <w:tcPr>
            <w:tcW w:type="dxa" w:w="1728"/>
          </w:tcPr>
          <w:p>
            <w:pPr>
              <w:spacing w:before="20" w:after="20"/>
            </w:pPr>
            <w:r>
              <w:rPr>
                <w:sz w:val="16"/>
              </w:rPr>
              <w:t>01/08–11/08/2026 (11 días)</w:t>
            </w:r>
          </w:p>
        </w:tc>
        <w:tc>
          <w:tcPr>
            <w:tcW w:type="dxa" w:w="1728"/>
          </w:tcPr>
          <w:p>
            <w:pPr>
              <w:spacing w:before="20" w:after="20"/>
            </w:pPr>
            <w:r>
              <w:rPr>
                <w:sz w:val="16"/>
              </w:rPr>
              <w:t>1.073</w:t>
            </w:r>
          </w:p>
        </w:tc>
        <w:tc>
          <w:tcPr>
            <w:tcW w:type="dxa" w:w="1728"/>
          </w:tcPr>
          <w:p>
            <w:pPr>
              <w:spacing w:before="20" w:after="20"/>
            </w:pPr>
            <w:r>
              <w:rPr>
                <w:sz w:val="16"/>
              </w:rPr>
              <w:t>$1.394.666</w:t>
            </w:r>
          </w:p>
        </w:tc>
      </w:tr>
      <w:tr>
        <w:trPr>
          <w:cantSplit/>
        </w:trPr>
        <w:tc>
          <w:tcPr>
            <w:tcW w:type="dxa" w:w="1728"/>
            <w:shd w:val="clear" w:fill="F2F6FC"/>
          </w:tcPr>
          <w:p>
            <w:pPr>
              <w:spacing w:before="20" w:after="20"/>
            </w:pPr>
            <w:r>
              <w:rPr>
                <w:sz w:val="16"/>
              </w:rPr>
              <w:t>Proyección cierre agosto (con mejora)</w:t>
            </w:r>
          </w:p>
        </w:tc>
        <w:tc>
          <w:tcPr>
            <w:tcW w:type="dxa" w:w="1728"/>
            <w:shd w:val="clear" w:fill="F2F6FC"/>
          </w:tcPr>
          <w:p>
            <w:pPr>
              <w:spacing w:before="20" w:after="20"/>
            </w:pPr>
            <w:r>
              <w:rPr>
                <w:sz w:val="16"/>
              </w:rPr>
              <w:t>98</w:t>
            </w:r>
          </w:p>
        </w:tc>
        <w:tc>
          <w:tcPr>
            <w:tcW w:type="dxa" w:w="1728"/>
            <w:shd w:val="clear" w:fill="F2F6FC"/>
          </w:tcPr>
          <w:p>
            <w:pPr>
              <w:spacing w:before="20" w:after="20"/>
            </w:pPr>
            <w:r>
              <w:rPr>
                <w:sz w:val="16"/>
              </w:rPr>
              <w:t>Observado + 20 días × ritmo post-mejora</w:t>
            </w:r>
          </w:p>
        </w:tc>
        <w:tc>
          <w:tcPr>
            <w:tcW w:type="dxa" w:w="1728"/>
            <w:shd w:val="clear" w:fill="F2F6FC"/>
          </w:tcPr>
          <w:p>
            <w:pPr>
              <w:spacing w:before="20" w:after="20"/>
            </w:pPr>
            <w:r>
              <w:rPr>
                <w:sz w:val="16"/>
              </w:rPr>
              <w:t>3.037</w:t>
            </w:r>
          </w:p>
        </w:tc>
        <w:tc>
          <w:tcPr>
            <w:tcW w:type="dxa" w:w="1728"/>
            <w:shd w:val="clear" w:fill="F2F6FC"/>
          </w:tcPr>
          <w:p>
            <w:pPr>
              <w:spacing w:before="20" w:after="20"/>
            </w:pPr>
            <w:r>
              <w:rPr>
                <w:sz w:val="16"/>
              </w:rPr>
              <w:t>$3.947.829</w:t>
            </w:r>
          </w:p>
        </w:tc>
      </w:tr>
      <w:tr>
        <w:trPr>
          <w:cantSplit/>
        </w:trPr>
        <w:tc>
          <w:tcPr>
            <w:tcW w:type="dxa" w:w="1728"/>
            <w:shd w:val="clear" w:fill="D9E1F2"/>
          </w:tcPr>
          <w:p>
            <w:pPr>
              <w:spacing w:before="20" w:after="20"/>
            </w:pPr>
            <w:r>
              <w:rPr>
                <w:b/>
                <w:sz w:val="16"/>
              </w:rPr>
              <w:t>Ahorro proyectado vs ritmo previo</w:t>
            </w:r>
          </w:p>
        </w:tc>
        <w:tc>
          <w:tcPr>
            <w:tcW w:type="dxa" w:w="1728"/>
            <w:shd w:val="clear" w:fill="D9E1F2"/>
          </w:tcPr>
          <w:p>
            <w:pPr>
              <w:spacing w:before="20" w:after="20"/>
            </w:pPr>
            <w:r>
              <w:rPr>
                <w:b/>
                <w:sz w:val="16"/>
              </w:rPr>
              <w:t>—</w:t>
            </w:r>
          </w:p>
        </w:tc>
        <w:tc>
          <w:tcPr>
            <w:tcW w:type="dxa" w:w="1728"/>
            <w:shd w:val="clear" w:fill="D9E1F2"/>
          </w:tcPr>
          <w:p>
            <w:pPr>
              <w:spacing w:before="20" w:after="20"/>
            </w:pPr>
            <w:r>
              <w:rPr>
                <w:b/>
                <w:sz w:val="16"/>
              </w:rPr>
              <w:t>Diferencia de cierre de mes</w:t>
            </w:r>
          </w:p>
        </w:tc>
        <w:tc>
          <w:tcPr>
            <w:tcW w:type="dxa" w:w="1728"/>
            <w:shd w:val="clear" w:fill="D9E1F2"/>
          </w:tcPr>
          <w:p>
            <w:pPr>
              <w:spacing w:before="20" w:after="20"/>
            </w:pPr>
            <w:r>
              <w:rPr>
                <w:b/>
                <w:sz w:val="16"/>
              </w:rPr>
              <w:t>4.565</w:t>
            </w:r>
          </w:p>
        </w:tc>
        <w:tc>
          <w:tcPr>
            <w:tcW w:type="dxa" w:w="1728"/>
            <w:shd w:val="clear" w:fill="D9E1F2"/>
          </w:tcPr>
          <w:p>
            <w:pPr>
              <w:spacing w:before="20" w:after="20"/>
            </w:pPr>
            <w:r>
              <w:rPr>
                <w:b/>
                <w:sz w:val="16"/>
              </w:rPr>
              <w:t>$5.934.000</w:t>
            </w:r>
          </w:p>
        </w:tc>
      </w:tr>
    </w:tbl>
    <w:p>
      <w:pPr>
        <w:jc w:val="both"/>
      </w:pPr>
      <w:r>
        <w:rPr>
          <w:b/>
        </w:rPr>
        <w:t xml:space="preserve">Lectura para el cliente: </w:t>
      </w:r>
      <w:r>
        <w:t>si el consumo se hubiera mantenido en ~245 m³/día, agosto habría cerrado cerca de 7.601 m³ ($9.881.829). Con el ritmo actual post-mejora, el cierre proyectado es de ~3.037 m³ ($3.947.829), es decir un ahorro del orden de 4.565 m³ ($5.934.000) solo en este mes.</w:t>
      </w:r>
    </w:p>
    <w:p/>
    <w:p>
      <w:pPr>
        <w:keepNext/>
        <w:widowControl/>
        <w:spacing w:after="60"/>
        <w:jc w:val="center"/>
      </w:pPr>
      <w:r>
        <w:drawing>
          <wp:inline xmlns:a="http://schemas.openxmlformats.org/drawingml/2006/main" xmlns:pic="http://schemas.openxmlformats.org/drawingml/2006/picture">
            <wp:extent cx="5303520" cy="3216890"/>
            <wp:docPr id="9" name="Picture 9"/>
            <wp:cNvGraphicFramePr>
              <a:graphicFrameLocks noChangeAspect="1"/>
            </wp:cNvGraphicFramePr>
            <a:graphic>
              <a:graphicData uri="http://schemas.openxmlformats.org/drawingml/2006/picture">
                <pic:pic>
                  <pic:nvPicPr>
                    <pic:cNvPr id="0" name="chart_proyeccion_cierre_agosto.png"/>
                    <pic:cNvPicPr/>
                  </pic:nvPicPr>
                  <pic:blipFill>
                    <a:blip r:embed="rId18"/>
                    <a:stretch>
                      <a:fillRect/>
                    </a:stretch>
                  </pic:blipFill>
                  <pic:spPr>
                    <a:xfrm>
                      <a:off x="0" y="0"/>
                      <a:ext cx="5303520" cy="3216890"/>
                    </a:xfrm>
                    <a:prstGeom prst="rect"/>
                  </pic:spPr>
                </pic:pic>
              </a:graphicData>
            </a:graphic>
          </wp:inline>
        </w:drawing>
      </w:r>
    </w:p>
    <w:p>
      <w:pPr>
        <w:keepNext/>
        <w:widowControl/>
        <w:spacing w:after="60"/>
      </w:pPr>
      <w:r>
        <w:rPr>
          <w:b/>
          <w:color w:val="003366"/>
        </w:rPr>
        <w:t>ROL DE WES Y DEL EQUIPO DE MANTENCIÓN</w:t>
      </w:r>
    </w:p>
    <w:p>
      <w:pPr>
        <w:jc w:val="both"/>
      </w:pPr>
      <w:r>
        <w:t>La información que entrega WES es clave para el equipo de mantención: permite ver en qué momento el consumo se disparó o se mantuvo alto, actuar con precisión y verificar de inmediato el efecto de las mejoras. En este caso, la bajada marcada el 29/07/2026 muestra que, cuando el equipo interviene apoyado en los datos de monitoreo, la clínica puede reducir de forma sustancial el volumen facturado y, con ello, la cuenta de agua. Mantener este seguimiento permite sostener el ahorro y detectar a tiempo cualquier nuevo desvío.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