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Fundo Zapallar — boletas ESVAL vs WES Matriz y Estanque Inferior</w:t>
      </w:r>
    </w:p>
    <w:p>
      <w:pPr>
        <w:jc w:val="center"/>
      </w:pPr>
      <w:r>
        <w:rPr>
          <w:color w:val="505050"/>
          <w:sz w:val="20"/>
        </w:rPr>
        <w:t>Misma ventana 12h de la tabla original, con consumo del estanque inferior y diferencia respecto de la matriz principal (000027-01).</w:t>
      </w:r>
    </w:p>
    <w:p>
      <w:r>
        <w:rPr>
          <w:sz w:val="18"/>
        </w:rPr>
        <w:t>Método WES 12h: suma horaria en hora Chile desde las 12:00 del día de lectura inicial hasta las 12:00 del día de lectura final (ventana semiabierta). Matriz principal = Matriz ESVAL (000027-01). Estanque Inferior = 000027-02. Dif. Matriz−Inf = WES Matriz 12h − WES Estanque Inferior 12h (positivo = la matriz midió más). Las filas en rojo son las mismas de la tabla original (|Dif. % boleta| &gt; 20%). Las columnas nuevas van en verde.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1"/>
        <w:gridCol w:w="1621"/>
        <w:gridCol w:w="1621"/>
        <w:gridCol w:w="1621"/>
        <w:gridCol w:w="1621"/>
        <w:gridCol w:w="1621"/>
        <w:gridCol w:w="1621"/>
        <w:gridCol w:w="1621"/>
        <w:gridCol w:w="1621"/>
      </w:tblGrid>
      <w:tr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Ciclo lectura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Boleta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Delta medidor (m³)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Facturado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WES Matriz 12h (m³)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Dif. % boleta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Estanque Inf. 12h (m³)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Dif. Matriz−Inf (m³)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Fase equipo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28/08–27/09/25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90097803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3.375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3.188,9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-5,5%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2.982,3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206,6 (+6,5%)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27/09–29/10/25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90777916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3.973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4.086,3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+2,9%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4.266,6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-180,3 (-4,4%)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29/10–28/11/25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91459036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5.711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417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5.678,5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-0,6%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5.081,1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597,5 (+10,5%)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28/11–30/12/25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92141513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6.319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6.269,4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-0,8%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5.308,8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960,6 (+15,3%)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30/12/25–30/01/26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92825564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7.193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501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7.200,3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+0,1%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6.108,8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1.091,5 (+15,2%)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Inductivo ESVAL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30/01–27/02/26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93509803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6.478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5.716,3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-11,8%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6.431,9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-715,6 (-12,5%)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Transición (desconex./cambio)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27/02–30/03/26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94194644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6.793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1.028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1.867,1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-72,5%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11.809,4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-9.942,3 (-532,5%)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Transición (desconex./cambio)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30/03–29/04/26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94879773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6.034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808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2.997,4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-50,3%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8.784,2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-5.786,9 (-193,1%)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29/04–29/05/26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95565463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4.566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635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3.254,5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-28,7%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2.986,3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268,2 (+8,2%)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29/05–27/06/26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96251613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3.707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639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2.378,8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-35,8%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2.931,4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-552,6 (-23,2%)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27/06–29/07/26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96937917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5.067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2.328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3.239,2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-36,1%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2.338,7</w:t>
            </w:r>
          </w:p>
        </w:tc>
        <w:tc>
          <w:tcPr>
            <w:tcW w:type="dxa" w:w="1621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900,5 (+27,8%)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29/07–28/08/26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97624985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2.079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331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1.753,7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-15,7%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1.612,3</w:t>
            </w:r>
          </w:p>
        </w:tc>
        <w:tc>
          <w:tcPr>
            <w:tcW w:type="dxa" w:w="1621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141,4 (+8,1%)</w:t>
            </w:r>
          </w:p>
        </w:tc>
        <w:tc>
          <w:tcPr>
            <w:tcW w:type="dxa" w:w="1621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Ultrasónico WES</w:t>
            </w:r>
          </w:p>
        </w:tc>
      </w:tr>
      <w:tr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TOTAL 12 ciclos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61.295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8.458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47.630,4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-22,3%</w:t>
            </w:r>
          </w:p>
        </w:tc>
        <w:tc>
          <w:tcPr>
            <w:tcW w:type="dxa" w:w="1621"/>
            <w:shd w:fill="C5D9F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60.641,7</w:t>
            </w:r>
          </w:p>
        </w:tc>
        <w:tc>
          <w:tcPr>
            <w:tcW w:type="dxa" w:w="1621"/>
            <w:shd w:fill="C5D9F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-13.011,3 (-27,3%)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3325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triz_vs_inferi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332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Nota: en los ciclos de transición (desconexión del sensor de matriz el 25/02/2026 e instalación del ultrasónico el 11/03/2026) la matriz no es comparable con el estanque inferior.</w:t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