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Estanque Inferior vs cuentas ESVAL — mismo mes</w:t>
      </w:r>
    </w:p>
    <w:p>
      <w:r>
        <w:rPr>
          <w:sz w:val="20"/>
        </w:rPr>
        <w:t>Cada fila usa el mismo ciclo de la boleta. Cuenta ESVAL = delta del medidor de turbina (no el ítem “facturado”). Inferior = WES día completo 00:00–24:00 Chile. ±5 % cuadra, ±15 % cerca. Marzo–abril = transición, no calibrar.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Mes</w:t>
            </w:r>
          </w:p>
        </w:tc>
        <w:tc>
          <w:tcPr>
            <w:tcW w:type="dxa" w:w="182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Ciclo de la cuenta</w:t>
            </w:r>
          </w:p>
        </w:tc>
        <w:tc>
          <w:tcPr>
            <w:tcW w:type="dxa" w:w="182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N° boleta</w:t>
            </w:r>
          </w:p>
        </w:tc>
        <w:tc>
          <w:tcPr>
            <w:tcW w:type="dxa" w:w="182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Cuenta ESVAL (m³)</w:t>
            </w:r>
          </w:p>
        </w:tc>
        <w:tc>
          <w:tcPr>
            <w:tcW w:type="dxa" w:w="182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E79"/>
                <w:sz w:val="18"/>
              </w:rPr>
              <w:t>Estanque Inf. (m³)</w:t>
            </w:r>
          </w:p>
        </w:tc>
        <w:tc>
          <w:tcPr>
            <w:tcW w:type="dxa" w:w="182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Dif. (m³)</w:t>
            </w:r>
          </w:p>
        </w:tc>
        <w:tc>
          <w:tcPr>
            <w:tcW w:type="dxa" w:w="182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Dif. %</w:t>
            </w:r>
          </w:p>
        </w:tc>
        <w:tc>
          <w:tcPr>
            <w:tcW w:type="dxa" w:w="1824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¿Cuadra?</w:t>
            </w:r>
          </w:p>
        </w:tc>
      </w:tr>
      <w:tr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Sep-25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28/08–27/09/25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90097803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3.375</w:t>
            </w:r>
          </w:p>
        </w:tc>
        <w:tc>
          <w:tcPr>
            <w:tcW w:type="dxa" w:w="182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3.080,8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-294,2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−8,7%</w:t>
            </w:r>
          </w:p>
        </w:tc>
        <w:tc>
          <w:tcPr>
            <w:tcW w:type="dxa" w:w="1824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cerca</w:t>
            </w:r>
          </w:p>
        </w:tc>
      </w:tr>
      <w:tr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Oct-25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27/09–29/10/25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90777916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3.973</w:t>
            </w:r>
          </w:p>
        </w:tc>
        <w:tc>
          <w:tcPr>
            <w:tcW w:type="dxa" w:w="182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4.397,1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424,1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+10,7%</w:t>
            </w:r>
          </w:p>
        </w:tc>
        <w:tc>
          <w:tcPr>
            <w:tcW w:type="dxa" w:w="1824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cerca</w:t>
            </w:r>
          </w:p>
        </w:tc>
      </w:tr>
      <w:tr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Nov-25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29/10–28/11/25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91459036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5.711</w:t>
            </w:r>
          </w:p>
        </w:tc>
        <w:tc>
          <w:tcPr>
            <w:tcW w:type="dxa" w:w="182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5.217,7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-493,3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−8,6%</w:t>
            </w:r>
          </w:p>
        </w:tc>
        <w:tc>
          <w:tcPr>
            <w:tcW w:type="dxa" w:w="1824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cerca</w:t>
            </w:r>
          </w:p>
        </w:tc>
      </w:tr>
      <w:tr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Dic-25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28/11–30/12/25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92141513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6.319</w:t>
            </w:r>
          </w:p>
        </w:tc>
        <w:tc>
          <w:tcPr>
            <w:tcW w:type="dxa" w:w="182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5.543,5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-775,5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−12,3%</w:t>
            </w:r>
          </w:p>
        </w:tc>
        <w:tc>
          <w:tcPr>
            <w:tcW w:type="dxa" w:w="1824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cerca</w:t>
            </w:r>
          </w:p>
        </w:tc>
      </w:tr>
      <w:tr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Ene-26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30/12/25–30/01/26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92825564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7.193</w:t>
            </w:r>
          </w:p>
        </w:tc>
        <w:tc>
          <w:tcPr>
            <w:tcW w:type="dxa" w:w="1824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6.341,4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-851,6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−11,8%</w:t>
            </w:r>
          </w:p>
        </w:tc>
        <w:tc>
          <w:tcPr>
            <w:tcW w:type="dxa" w:w="1824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cerca</w:t>
            </w:r>
          </w:p>
        </w:tc>
      </w:tr>
      <w:tr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Feb-26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30/01–27/02/26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93509803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6.478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6.755,5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277,5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+4,3%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Mar-26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27/02–30/03/26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94194644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6.793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12.228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5.435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+80%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Abr-26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30/03–29/04/26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94879773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6.034</w:t>
            </w:r>
          </w:p>
        </w:tc>
        <w:tc>
          <w:tcPr>
            <w:tcW w:type="dxa" w:w="1824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9.172,9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3.138,9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+52%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May-26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29/04–29/05/26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95565463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4.566</w:t>
            </w:r>
          </w:p>
        </w:tc>
        <w:tc>
          <w:tcPr>
            <w:tcW w:type="dxa" w:w="1824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3.056,1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-1.509,9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−33,1%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Jun-26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29/05–27/06/26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96251613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3.707</w:t>
            </w:r>
          </w:p>
        </w:tc>
        <w:tc>
          <w:tcPr>
            <w:tcW w:type="dxa" w:w="1824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3.055,2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-651,9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−17,6%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Jul-26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27/06–29/07/26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96937917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5.067</w:t>
            </w:r>
          </w:p>
        </w:tc>
        <w:tc>
          <w:tcPr>
            <w:tcW w:type="dxa" w:w="1824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2.433,1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-2.633,9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−52%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Ago-26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29/07–28/08/26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97624985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2.079</w:t>
            </w:r>
          </w:p>
        </w:tc>
        <w:tc>
          <w:tcPr>
            <w:tcW w:type="dxa" w:w="1824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1.676,3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-402,7</w:t>
            </w:r>
          </w:p>
        </w:tc>
        <w:tc>
          <w:tcPr>
            <w:tcW w:type="dxa" w:w="1824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−19,4%</w:t>
            </w:r>
          </w:p>
        </w:tc>
        <w:tc>
          <w:tcPr>
            <w:tcW w:type="dxa" w:w="1824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NO</w:t>
            </w:r>
          </w:p>
        </w:tc>
      </w:tr>
      <w:tr>
        <w:tc>
          <w:tcPr>
            <w:tcW w:type="dxa" w:w="1824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12</w:t>
            </w:r>
          </w:p>
        </w:tc>
        <w:tc>
          <w:tcPr>
            <w:tcW w:type="dxa" w:w="1824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1824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1824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61.295</w:t>
            </w:r>
          </w:p>
        </w:tc>
        <w:tc>
          <w:tcPr>
            <w:tcW w:type="dxa" w:w="1824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62.957,4</w:t>
            </w:r>
          </w:p>
        </w:tc>
        <w:tc>
          <w:tcPr>
            <w:tcW w:type="dxa" w:w="1824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1.662,4</w:t>
            </w:r>
          </w:p>
        </w:tc>
        <w:tc>
          <w:tcPr>
            <w:tcW w:type="dxa" w:w="1824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+2,7%</w:t>
            </w:r>
          </w:p>
        </w:tc>
        <w:tc>
          <w:tcPr>
            <w:tcW w:type="dxa" w:w="1824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</w:tr>
      <w:tr>
        <w:tc>
          <w:tcPr>
            <w:tcW w:type="dxa" w:w="1824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TOTAL sin transición</w:t>
            </w:r>
          </w:p>
        </w:tc>
        <w:tc>
          <w:tcPr>
            <w:tcW w:type="dxa" w:w="1824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10 cuentas</w:t>
            </w:r>
          </w:p>
        </w:tc>
        <w:tc>
          <w:tcPr>
            <w:tcW w:type="dxa" w:w="1824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  <w:tc>
          <w:tcPr>
            <w:tcW w:type="dxa" w:w="1824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48.024</w:t>
            </w:r>
          </w:p>
        </w:tc>
        <w:tc>
          <w:tcPr>
            <w:tcW w:type="dxa" w:w="1824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43.974</w:t>
            </w:r>
          </w:p>
        </w:tc>
        <w:tc>
          <w:tcPr>
            <w:tcW w:type="dxa" w:w="1824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-4.050</w:t>
            </w:r>
          </w:p>
        </w:tc>
        <w:tc>
          <w:tcPr>
            <w:tcW w:type="dxa" w:w="1824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  <w:t>−8,4%</w:t>
            </w:r>
          </w:p>
        </w:tc>
        <w:tc>
          <w:tcPr>
            <w:tcW w:type="dxa" w:w="1824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8"/>
              </w:rPr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3085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inferior_vs_cuent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308553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