
<file path=[Content_Types].xml><?xml version="1.0" encoding="utf-8"?>
<Types xmlns="http://schemas.openxmlformats.org/package/2006/content-types">
  <Default Extension="bmp" ContentType="image/bmp"/>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jc w:val="center"/>
      </w:pPr>
      <w:r>
        <w:rPr>
          <w:rFonts w:ascii="Calibri" w:hAnsi="Calibri"/>
          <w:b/>
          <w:color w:val="0B3D91"/>
          <w:sz w:val="32"/>
        </w:rPr>
        <w:t>ONEPAGE OPERATIVO — RENCA</w:t>
      </w:r>
    </w:p>
    <w:p>
      <w:pPr>
        <w:spacing w:after="40" w:before="0" w:line="252" w:lineRule="auto"/>
        <w:jc w:val="center"/>
      </w:pPr>
      <w:r>
        <w:rPr>
          <w:rFonts w:ascii="Calibri" w:hAnsi="Calibri"/>
          <w:b w:val="0"/>
          <w:color w:val="0D7A6F"/>
          <w:sz w:val="20"/>
        </w:rPr>
        <w:t>Monitoreo WES · Situación reciente, consumos y próximos pasos</w:t>
      </w:r>
    </w:p>
    <w:p>
      <w:pPr>
        <w:spacing w:after="120" w:before="0" w:line="252" w:lineRule="auto"/>
        <w:jc w:val="center"/>
      </w:pPr>
      <w:r>
        <w:rPr>
          <w:rFonts w:ascii="Calibri" w:hAnsi="Calibri"/>
          <w:b w:val="0"/>
          <w:color w:val="4A4A4A"/>
          <w:sz w:val="16"/>
        </w:rPr>
        <w:t>Corte de datos: 01-jul-2026 → 12-aug-2026  ·  Generado: 12-08-2026 20:59</w:t>
      </w:r>
    </w:p>
    <w:p>
      <w:pPr>
        <w:spacing w:after="60" w:before="40" w:line="252" w:lineRule="auto"/>
        <w:jc w:val="left"/>
      </w:pPr>
      <w:r>
        <w:rPr>
          <w:rFonts w:ascii="Calibri" w:hAnsi="Calibri"/>
          <w:b/>
          <w:color w:val="0B3D91"/>
          <w:sz w:val="22"/>
        </w:rPr>
        <w:t>1. Qué ha pasado en el último tiempo</w:t>
      </w:r>
    </w:p>
    <w:p>
      <w:pPr>
        <w:spacing w:after="60" w:before="0" w:line="252" w:lineRule="auto"/>
        <w:jc w:val="left"/>
      </w:pPr>
      <w:r>
        <w:rPr>
          <w:rFonts w:ascii="Calibri" w:hAnsi="Calibri"/>
          <w:b w:val="0"/>
          <w:color w:val="1A1A1A"/>
          <w:sz w:val="18"/>
        </w:rPr>
        <w:t>Los colegios de Renca mantuvieron el régimen de ahorro con control nocturno WES durante el periodo escolar hasta fines de julio. Hace aproximadamente dos semanas, en el ICCO (Colegio ICCO Renca) se activó la llave de emergencia, dejando el recinto sin corte nocturno mientras se resolvía la situación hidráulica.</w:t>
      </w:r>
    </w:p>
    <w:p>
      <w:pPr>
        <w:spacing w:after="60" w:before="0" w:line="252" w:lineRule="auto"/>
        <w:jc w:val="left"/>
      </w:pPr>
      <w:r>
        <w:rPr>
          <w:rFonts w:ascii="Calibri" w:hAnsi="Calibri"/>
          <w:b w:val="0"/>
          <w:color w:val="1A1A1A"/>
          <w:sz w:val="18"/>
        </w:rPr>
        <w:t>Esta semana el equipo WES dio soporte a la partida de las bombas del ICCO. Las bombas partieron correctamente gracias al trabajo del equipo de mantención de Celebridad, que dejó el sistema operativo. Con ello se cierra el episodio de contingencia hidráulica y se recupera la capacidad de alimentar el establecimiento de forma estable.</w:t>
      </w:r>
    </w:p>
    <w:p>
      <w:pPr>
        <w:spacing w:after="120" w:before="0" w:line="252" w:lineRule="auto"/>
        <w:jc w:val="left"/>
      </w:pPr>
      <w:r>
        <w:rPr>
          <w:rFonts w:ascii="Calibri" w:hAnsi="Calibri"/>
          <w:b w:val="0"/>
          <w:color w:val="1A1A1A"/>
          <w:sz w:val="18"/>
        </w:rPr>
        <w:t>Próxima semana —a más tardar el lunes— se inicia la auditoría del mes de agosto, para consolidar consumos, control nocturno y rendimiento de cada punto frente a la línea base sin WES.</w:t>
      </w:r>
    </w:p>
    <w:p>
      <w:pPr>
        <w:spacing w:after="60" w:before="0" w:line="252" w:lineRule="auto"/>
        <w:jc w:val="left"/>
      </w:pPr>
      <w:r>
        <w:rPr>
          <w:rFonts w:ascii="Calibri" w:hAnsi="Calibri"/>
          <w:b/>
          <w:color w:val="0B3D91"/>
          <w:sz w:val="22"/>
        </w:rPr>
        <w:t>2. Consumos recientes</w:t>
      </w:r>
    </w:p>
    <w:p>
      <w:pPr>
        <w:spacing w:after="80" w:before="0" w:line="252" w:lineRule="auto"/>
        <w:jc w:val="left"/>
      </w:pPr>
      <w:r>
        <w:rPr>
          <w:rFonts w:ascii="Calibri" w:hAnsi="Calibri"/>
          <w:b w:val="0"/>
          <w:color w:val="1A1A1A"/>
          <w:sz w:val="18"/>
        </w:rPr>
        <w:t>Julio 2026 (mes completo): 2.827,6 m³ agregados en 5 puntos. Agosto 2026 (01–12): 1.254,8 m³. El ICCO concentra el mayor volumen, coherente con la llave de emergencia activa en la segunda quincena de julio y lo que va de agosto.</w:t>
      </w:r>
    </w:p>
    <w:tbl>
      <w:tblPr>
        <w:tblStyle w:val="TableGrid"/>
        <w:tblW w:type="auto" w:w="0"/>
        <w:tblLook w:firstColumn="1" w:firstRow="1" w:lastColumn="0" w:lastRow="0" w:noHBand="0" w:noVBand="1" w:val="04A0"/>
      </w:tblPr>
      <w:tblGrid>
        <w:gridCol w:w="2691"/>
        <w:gridCol w:w="2691"/>
        <w:gridCol w:w="2691"/>
        <w:gridCol w:w="2691"/>
      </w:tblGrid>
      <w:tr>
        <w:tc>
          <w:tcPr>
            <w:tcW w:type="dxa" w:w="2691"/>
            <w:shd w:fill="0B3D91" w:val="clear"/>
          </w:tcPr>
          <w:p>
            <w:r>
              <w:rPr>
                <w:b/>
                <w:color w:val="FFFFFF"/>
                <w:sz w:val="16"/>
              </w:rPr>
              <w:t>Punto</w:t>
            </w:r>
          </w:p>
        </w:tc>
        <w:tc>
          <w:tcPr>
            <w:tcW w:type="dxa" w:w="2691"/>
            <w:shd w:fill="0B3D91" w:val="clear"/>
          </w:tcPr>
          <w:p>
            <w:r>
              <w:rPr>
                <w:b/>
                <w:color w:val="FFFFFF"/>
                <w:sz w:val="16"/>
              </w:rPr>
              <w:t>Julio (m³)</w:t>
            </w:r>
          </w:p>
        </w:tc>
        <w:tc>
          <w:tcPr>
            <w:tcW w:type="dxa" w:w="2691"/>
            <w:shd w:fill="0B3D91" w:val="clear"/>
          </w:tcPr>
          <w:p>
            <w:r>
              <w:rPr>
                <w:b/>
                <w:color w:val="FFFFFF"/>
                <w:sz w:val="16"/>
              </w:rPr>
              <w:t>Ago 1–12 (m³)</w:t>
            </w:r>
          </w:p>
        </w:tc>
        <w:tc>
          <w:tcPr>
            <w:tcW w:type="dxa" w:w="2691"/>
            <w:shd w:fill="0B3D91" w:val="clear"/>
          </w:tcPr>
          <w:p>
            <w:r>
              <w:rPr>
                <w:b/>
                <w:color w:val="FFFFFF"/>
                <w:sz w:val="16"/>
              </w:rPr>
              <w:t>Estado operativo</w:t>
            </w:r>
          </w:p>
        </w:tc>
      </w:tr>
      <w:tr>
        <w:tc>
          <w:tcPr>
            <w:tcW w:type="dxa" w:w="2691"/>
          </w:tcPr>
          <w:p>
            <w:r>
              <w:rPr>
                <w:sz w:val="16"/>
              </w:rPr>
              <w:t>Colegio ICCO Renca</w:t>
            </w:r>
          </w:p>
        </w:tc>
        <w:tc>
          <w:tcPr>
            <w:tcW w:type="dxa" w:w="2691"/>
          </w:tcPr>
          <w:p>
            <w:r>
              <w:rPr>
                <w:sz w:val="16"/>
              </w:rPr>
              <w:t>1.260,3</w:t>
            </w:r>
          </w:p>
        </w:tc>
        <w:tc>
          <w:tcPr>
            <w:tcW w:type="dxa" w:w="2691"/>
          </w:tcPr>
          <w:p>
            <w:r>
              <w:rPr>
                <w:sz w:val="16"/>
              </w:rPr>
              <w:t>653,5</w:t>
            </w:r>
          </w:p>
        </w:tc>
        <w:tc>
          <w:tcPr>
            <w:tcW w:type="dxa" w:w="2691"/>
          </w:tcPr>
          <w:p>
            <w:r>
              <w:rPr>
                <w:sz w:val="16"/>
              </w:rPr>
              <w:t>Llave emergencia · bombas OK (Celebridad)</w:t>
            </w:r>
          </w:p>
        </w:tc>
      </w:tr>
      <w:tr>
        <w:tc>
          <w:tcPr>
            <w:tcW w:type="dxa" w:w="2691"/>
          </w:tcPr>
          <w:p>
            <w:r>
              <w:rPr>
                <w:sz w:val="16"/>
              </w:rPr>
              <w:t>Piscina Municipal</w:t>
            </w:r>
          </w:p>
        </w:tc>
        <w:tc>
          <w:tcPr>
            <w:tcW w:type="dxa" w:w="2691"/>
          </w:tcPr>
          <w:p>
            <w:r>
              <w:rPr>
                <w:sz w:val="16"/>
              </w:rPr>
              <w:t>846,1</w:t>
            </w:r>
          </w:p>
        </w:tc>
        <w:tc>
          <w:tcPr>
            <w:tcW w:type="dxa" w:w="2691"/>
          </w:tcPr>
          <w:p>
            <w:r>
              <w:rPr>
                <w:sz w:val="16"/>
              </w:rPr>
              <w:t>295,2</w:t>
            </w:r>
          </w:p>
        </w:tc>
        <w:tc>
          <w:tcPr>
            <w:tcW w:type="dxa" w:w="2691"/>
          </w:tcPr>
          <w:p>
            <w:r>
              <w:rPr>
                <w:sz w:val="16"/>
              </w:rPr>
              <w:t>Control nocturno activo</w:t>
            </w:r>
          </w:p>
        </w:tc>
      </w:tr>
      <w:tr>
        <w:tc>
          <w:tcPr>
            <w:tcW w:type="dxa" w:w="2691"/>
          </w:tcPr>
          <w:p>
            <w:r>
              <w:rPr>
                <w:sz w:val="16"/>
              </w:rPr>
              <w:t>Cumbre de cóndores pte.</w:t>
            </w:r>
          </w:p>
        </w:tc>
        <w:tc>
          <w:tcPr>
            <w:tcW w:type="dxa" w:w="2691"/>
          </w:tcPr>
          <w:p>
            <w:r>
              <w:rPr>
                <w:sz w:val="16"/>
              </w:rPr>
              <w:t>320,0</w:t>
            </w:r>
          </w:p>
        </w:tc>
        <w:tc>
          <w:tcPr>
            <w:tcW w:type="dxa" w:w="2691"/>
          </w:tcPr>
          <w:p>
            <w:r>
              <w:rPr>
                <w:sz w:val="16"/>
              </w:rPr>
              <w:t>134,9</w:t>
            </w:r>
          </w:p>
        </w:tc>
        <w:tc>
          <w:tcPr>
            <w:tcW w:type="dxa" w:w="2691"/>
          </w:tcPr>
          <w:p>
            <w:r>
              <w:rPr>
                <w:sz w:val="16"/>
              </w:rPr>
              <w:t>Operativo sin novedades</w:t>
            </w:r>
          </w:p>
        </w:tc>
      </w:tr>
      <w:tr>
        <w:tc>
          <w:tcPr>
            <w:tcW w:type="dxa" w:w="2691"/>
          </w:tcPr>
          <w:p>
            <w:r>
              <w:rPr>
                <w:sz w:val="16"/>
              </w:rPr>
              <w:t>Gimnasio</w:t>
            </w:r>
          </w:p>
        </w:tc>
        <w:tc>
          <w:tcPr>
            <w:tcW w:type="dxa" w:w="2691"/>
          </w:tcPr>
          <w:p>
            <w:r>
              <w:rPr>
                <w:sz w:val="16"/>
              </w:rPr>
              <w:t>293,7</w:t>
            </w:r>
          </w:p>
        </w:tc>
        <w:tc>
          <w:tcPr>
            <w:tcW w:type="dxa" w:w="2691"/>
          </w:tcPr>
          <w:p>
            <w:r>
              <w:rPr>
                <w:sz w:val="16"/>
              </w:rPr>
              <w:t>119,3</w:t>
            </w:r>
          </w:p>
        </w:tc>
        <w:tc>
          <w:tcPr>
            <w:tcW w:type="dxa" w:w="2691"/>
          </w:tcPr>
          <w:p>
            <w:r>
              <w:rPr>
                <w:sz w:val="16"/>
              </w:rPr>
              <w:t>Funcionando bien</w:t>
            </w:r>
          </w:p>
        </w:tc>
      </w:tr>
      <w:tr>
        <w:tc>
          <w:tcPr>
            <w:tcW w:type="dxa" w:w="2691"/>
          </w:tcPr>
          <w:p>
            <w:r>
              <w:rPr>
                <w:sz w:val="16"/>
              </w:rPr>
              <w:t>Esc. Lo Velásquez</w:t>
            </w:r>
          </w:p>
        </w:tc>
        <w:tc>
          <w:tcPr>
            <w:tcW w:type="dxa" w:w="2691"/>
          </w:tcPr>
          <w:p>
            <w:r>
              <w:rPr>
                <w:sz w:val="16"/>
              </w:rPr>
              <w:t>107,5</w:t>
            </w:r>
          </w:p>
        </w:tc>
        <w:tc>
          <w:tcPr>
            <w:tcW w:type="dxa" w:w="2691"/>
          </w:tcPr>
          <w:p>
            <w:r>
              <w:rPr>
                <w:sz w:val="16"/>
              </w:rPr>
              <w:t>51,9</w:t>
            </w:r>
          </w:p>
        </w:tc>
        <w:tc>
          <w:tcPr>
            <w:tcW w:type="dxa" w:w="2691"/>
          </w:tcPr>
          <w:p>
            <w:r>
              <w:rPr>
                <w:sz w:val="16"/>
              </w:rPr>
              <w:t>Control nocturno · proceso auto. activo</w:t>
            </w:r>
          </w:p>
        </w:tc>
      </w:tr>
      <w:tr>
        <w:tc>
          <w:tcPr>
            <w:tcW w:type="dxa" w:w="2691"/>
            <w:shd w:fill="E8EEF7" w:val="clear"/>
          </w:tcPr>
          <w:p>
            <w:r>
              <w:rPr>
                <w:b/>
                <w:sz w:val="16"/>
              </w:rPr>
              <w:t>TOTAL</w:t>
            </w:r>
          </w:p>
        </w:tc>
        <w:tc>
          <w:tcPr>
            <w:tcW w:type="dxa" w:w="2691"/>
            <w:shd w:fill="E8EEF7" w:val="clear"/>
          </w:tcPr>
          <w:p>
            <w:r>
              <w:rPr>
                <w:b/>
                <w:sz w:val="16"/>
              </w:rPr>
              <w:t>2.827,6</w:t>
            </w:r>
          </w:p>
        </w:tc>
        <w:tc>
          <w:tcPr>
            <w:tcW w:type="dxa" w:w="2691"/>
            <w:shd w:fill="E8EEF7" w:val="clear"/>
          </w:tcPr>
          <w:p>
            <w:r>
              <w:rPr>
                <w:b/>
                <w:sz w:val="16"/>
              </w:rPr>
              <w:t>1.254,8</w:t>
            </w:r>
          </w:p>
        </w:tc>
        <w:tc>
          <w:tcPr>
            <w:tcW w:type="dxa" w:w="2691"/>
            <w:shd w:fill="E8EEF7" w:val="clear"/>
          </w:tcPr>
          <w:p>
            <w:r>
              <w:rPr>
                <w:b/>
                <w:sz w:val="16"/>
              </w:rPr>
            </w:r>
          </w:p>
        </w:tc>
      </w:tr>
    </w:tbl>
    <w:p>
      <w:pPr>
        <w:spacing w:after="80"/>
      </w:pPr>
    </w:p>
    <w:p>
      <w:pPr>
        <w:spacing w:after="60" w:before="80" w:line="252" w:lineRule="auto"/>
        <w:jc w:val="left"/>
      </w:pPr>
      <w:r>
        <w:rPr>
          <w:rFonts w:ascii="Calibri" w:hAnsi="Calibri"/>
          <w:b/>
          <w:color w:val="0B3D91"/>
          <w:sz w:val="22"/>
        </w:rPr>
        <w:t>3. Estado por establecimiento</w:t>
      </w:r>
    </w:p>
    <w:p>
      <w:pPr>
        <w:pStyle w:val="ListBullet"/>
        <w:spacing w:after="20" w:before="0"/>
      </w:pPr>
      <w:r>
        <w:rPr>
          <w:rFonts w:ascii="Calibri" w:hAnsi="Calibri"/>
          <w:sz w:val="17"/>
        </w:rPr>
        <w:t>ICCO (Colegio ICCO Renca): llave de emergencia activada ~hace dos semanas; esta semana soporte a partida de bombas — partieron; mantención Celebridad dejó el sistema funcionando.</w:t>
      </w:r>
    </w:p>
    <w:p>
      <w:pPr>
        <w:pStyle w:val="ListBullet"/>
        <w:spacing w:after="20" w:before="0"/>
      </w:pPr>
      <w:r>
        <w:rPr>
          <w:rFonts w:ascii="Calibri" w:hAnsi="Calibri"/>
          <w:sz w:val="17"/>
        </w:rPr>
        <w:t>Gimnasio: operando de forma estable y con buen comportamiento de consumo.</w:t>
      </w:r>
    </w:p>
    <w:p>
      <w:pPr>
        <w:pStyle w:val="ListBullet"/>
        <w:spacing w:after="20" w:before="0"/>
      </w:pPr>
      <w:r>
        <w:rPr>
          <w:rFonts w:ascii="Calibri" w:hAnsi="Calibri"/>
          <w:sz w:val="17"/>
        </w:rPr>
        <w:t>Piscina Municipal: control nocturno activo; perfil coherente con operación programada.</w:t>
      </w:r>
    </w:p>
    <w:p>
      <w:pPr>
        <w:pStyle w:val="ListBullet"/>
        <w:spacing w:after="20" w:before="0"/>
      </w:pPr>
      <w:r>
        <w:rPr>
          <w:rFonts w:ascii="Calibri" w:hAnsi="Calibri"/>
          <w:sz w:val="17"/>
        </w:rPr>
        <w:t>Esc. Lo Velásquez: control nocturno activo; el colegio tiende a ir a cero en noche/fines de semana. Se detectaron días con consumo residual por llaves dejadas abiertas; el proceso automático de control se activó correctamente.</w:t>
      </w:r>
    </w:p>
    <w:p>
      <w:pPr>
        <w:pStyle w:val="ListBullet"/>
        <w:spacing w:after="20" w:before="0"/>
      </w:pPr>
      <w:r>
        <w:rPr>
          <w:rFonts w:ascii="Calibri" w:hAnsi="Calibri"/>
          <w:sz w:val="17"/>
        </w:rPr>
        <w:t>Cumbre de cóndores (Cóndor / Exponente): operativo sin problemas.</w:t>
      </w:r>
    </w:p>
    <w:p>
      <w:pPr>
        <w:spacing w:after="60" w:before="120" w:line="252" w:lineRule="auto"/>
        <w:jc w:val="left"/>
      </w:pPr>
      <w:r>
        <w:rPr>
          <w:rFonts w:ascii="Calibri" w:hAnsi="Calibri"/>
          <w:b/>
          <w:color w:val="0B3D91"/>
          <w:sz w:val="22"/>
        </w:rPr>
        <w:t>4. Ahorro vs antes de operar (auditoría abril 2026)</w:t>
      </w:r>
    </w:p>
    <w:p>
      <w:pPr>
        <w:spacing w:after="60" w:before="0" w:line="252" w:lineRule="auto"/>
        <w:jc w:val="left"/>
      </w:pPr>
      <w:r>
        <w:rPr>
          <w:rFonts w:ascii="Calibri" w:hAnsi="Calibri"/>
          <w:b w:val="0"/>
          <w:color w:val="4A4A4A"/>
          <w:sz w:val="16"/>
        </w:rPr>
        <w:t>Comparación de la semana con control WES (13–19 abr) frente a la semana de referencia sin WES (6–12 abr). Para el Gimnasio se reporta el comparativo de mayo (25–31) vs la misma línea base sin WES de abril, representativo de la operación normal.</w:t>
      </w:r>
    </w:p>
    <w:tbl>
      <w:tblPr>
        <w:tblStyle w:val="TableGrid"/>
        <w:tblW w:type="auto" w:w="0"/>
        <w:tblLook w:firstColumn="1" w:firstRow="1" w:lastColumn="0" w:lastRow="0" w:noHBand="0" w:noVBand="1" w:val="04A0"/>
      </w:tblPr>
      <w:tblGrid>
        <w:gridCol w:w="2691"/>
        <w:gridCol w:w="2691"/>
        <w:gridCol w:w="2691"/>
        <w:gridCol w:w="2691"/>
      </w:tblGrid>
      <w:tr>
        <w:tc>
          <w:tcPr>
            <w:tcW w:type="dxa" w:w="2691"/>
            <w:shd w:fill="0D7A6F" w:val="clear"/>
          </w:tcPr>
          <w:p>
            <w:r>
              <w:rPr>
                <w:b/>
                <w:color w:val="FFFFFF"/>
                <w:sz w:val="16"/>
              </w:rPr>
              <w:t>Punto</w:t>
            </w:r>
          </w:p>
        </w:tc>
        <w:tc>
          <w:tcPr>
            <w:tcW w:type="dxa" w:w="2691"/>
            <w:shd w:fill="0D7A6F" w:val="clear"/>
          </w:tcPr>
          <w:p>
            <w:r>
              <w:rPr>
                <w:b/>
                <w:color w:val="FFFFFF"/>
                <w:sz w:val="16"/>
              </w:rPr>
              <w:t>% ahorro</w:t>
            </w:r>
          </w:p>
        </w:tc>
        <w:tc>
          <w:tcPr>
            <w:tcW w:type="dxa" w:w="2691"/>
            <w:shd w:fill="0D7A6F" w:val="clear"/>
          </w:tcPr>
          <w:p>
            <w:r>
              <w:rPr>
                <w:b/>
                <w:color w:val="FFFFFF"/>
                <w:sz w:val="16"/>
              </w:rPr>
              <w:t>Semana sin WES (m³)</w:t>
            </w:r>
          </w:p>
        </w:tc>
        <w:tc>
          <w:tcPr>
            <w:tcW w:type="dxa" w:w="2691"/>
            <w:shd w:fill="0D7A6F" w:val="clear"/>
          </w:tcPr>
          <w:p>
            <w:r>
              <w:rPr>
                <w:b/>
                <w:color w:val="FFFFFF"/>
                <w:sz w:val="16"/>
              </w:rPr>
              <w:t>Semana con WES (m³)</w:t>
            </w:r>
          </w:p>
        </w:tc>
      </w:tr>
      <w:tr>
        <w:tc>
          <w:tcPr>
            <w:tcW w:type="dxa" w:w="2691"/>
          </w:tcPr>
          <w:p>
            <w:r>
              <w:rPr>
                <w:sz w:val="16"/>
              </w:rPr>
              <w:t>Colegio ICCO Renca</w:t>
            </w:r>
          </w:p>
        </w:tc>
        <w:tc>
          <w:tcPr>
            <w:tcW w:type="dxa" w:w="2691"/>
          </w:tcPr>
          <w:p>
            <w:r>
              <w:rPr>
                <w:sz w:val="16"/>
              </w:rPr>
              <w:t>37,2 %</w:t>
            </w:r>
          </w:p>
        </w:tc>
        <w:tc>
          <w:tcPr>
            <w:tcW w:type="dxa" w:w="2691"/>
          </w:tcPr>
          <w:p>
            <w:r>
              <w:rPr>
                <w:sz w:val="16"/>
              </w:rPr>
              <w:t>341,8</w:t>
            </w:r>
          </w:p>
        </w:tc>
        <w:tc>
          <w:tcPr>
            <w:tcW w:type="dxa" w:w="2691"/>
          </w:tcPr>
          <w:p>
            <w:r>
              <w:rPr>
                <w:sz w:val="16"/>
              </w:rPr>
              <w:t>214,8</w:t>
            </w:r>
          </w:p>
        </w:tc>
      </w:tr>
      <w:tr>
        <w:tc>
          <w:tcPr>
            <w:tcW w:type="dxa" w:w="2691"/>
          </w:tcPr>
          <w:p>
            <w:r>
              <w:rPr>
                <w:sz w:val="16"/>
              </w:rPr>
              <w:t>Esc. Lo Velásquez</w:t>
            </w:r>
          </w:p>
        </w:tc>
        <w:tc>
          <w:tcPr>
            <w:tcW w:type="dxa" w:w="2691"/>
          </w:tcPr>
          <w:p>
            <w:r>
              <w:rPr>
                <w:sz w:val="16"/>
              </w:rPr>
              <w:t>10,1 %</w:t>
            </w:r>
          </w:p>
        </w:tc>
        <w:tc>
          <w:tcPr>
            <w:tcW w:type="dxa" w:w="2691"/>
          </w:tcPr>
          <w:p>
            <w:r>
              <w:rPr>
                <w:sz w:val="16"/>
              </w:rPr>
              <w:t>36,7</w:t>
            </w:r>
          </w:p>
        </w:tc>
        <w:tc>
          <w:tcPr>
            <w:tcW w:type="dxa" w:w="2691"/>
          </w:tcPr>
          <w:p>
            <w:r>
              <w:rPr>
                <w:sz w:val="16"/>
              </w:rPr>
              <w:t>33,0</w:t>
            </w:r>
          </w:p>
        </w:tc>
      </w:tr>
      <w:tr>
        <w:tc>
          <w:tcPr>
            <w:tcW w:type="dxa" w:w="2691"/>
          </w:tcPr>
          <w:p>
            <w:r>
              <w:rPr>
                <w:sz w:val="16"/>
              </w:rPr>
              <w:t>Piscina Municipal</w:t>
            </w:r>
          </w:p>
        </w:tc>
        <w:tc>
          <w:tcPr>
            <w:tcW w:type="dxa" w:w="2691"/>
          </w:tcPr>
          <w:p>
            <w:r>
              <w:rPr>
                <w:sz w:val="16"/>
              </w:rPr>
              <w:t>57,4 %</w:t>
            </w:r>
          </w:p>
        </w:tc>
        <w:tc>
          <w:tcPr>
            <w:tcW w:type="dxa" w:w="2691"/>
          </w:tcPr>
          <w:p>
            <w:r>
              <w:rPr>
                <w:sz w:val="16"/>
              </w:rPr>
              <w:t>698,7</w:t>
            </w:r>
          </w:p>
        </w:tc>
        <w:tc>
          <w:tcPr>
            <w:tcW w:type="dxa" w:w="2691"/>
          </w:tcPr>
          <w:p>
            <w:r>
              <w:rPr>
                <w:sz w:val="16"/>
              </w:rPr>
              <w:t>297,8</w:t>
            </w:r>
          </w:p>
        </w:tc>
      </w:tr>
      <w:tr>
        <w:tc>
          <w:tcPr>
            <w:tcW w:type="dxa" w:w="2691"/>
          </w:tcPr>
          <w:p>
            <w:r>
              <w:rPr>
                <w:sz w:val="16"/>
              </w:rPr>
              <w:t>Gimnasio (mayo vs sin WES abr)</w:t>
            </w:r>
          </w:p>
        </w:tc>
        <w:tc>
          <w:tcPr>
            <w:tcW w:type="dxa" w:w="2691"/>
          </w:tcPr>
          <w:p>
            <w:r>
              <w:rPr>
                <w:sz w:val="16"/>
              </w:rPr>
              <w:t>96,5 %</w:t>
            </w:r>
          </w:p>
        </w:tc>
        <w:tc>
          <w:tcPr>
            <w:tcW w:type="dxa" w:w="2691"/>
          </w:tcPr>
          <w:p>
            <w:r>
              <w:rPr>
                <w:sz w:val="16"/>
              </w:rPr>
              <w:t>470,2</w:t>
            </w:r>
          </w:p>
        </w:tc>
        <w:tc>
          <w:tcPr>
            <w:tcW w:type="dxa" w:w="2691"/>
          </w:tcPr>
          <w:p>
            <w:r>
              <w:rPr>
                <w:sz w:val="16"/>
              </w:rPr>
              <w:t>16,4</w:t>
            </w:r>
          </w:p>
        </w:tc>
      </w:tr>
      <w:tr>
        <w:tc>
          <w:tcPr>
            <w:tcW w:type="dxa" w:w="2691"/>
          </w:tcPr>
          <w:p>
            <w:r>
              <w:rPr>
                <w:sz w:val="16"/>
              </w:rPr>
              <w:t>Cumbre de cóndores pte.</w:t>
            </w:r>
          </w:p>
        </w:tc>
        <w:tc>
          <w:tcPr>
            <w:tcW w:type="dxa" w:w="2691"/>
          </w:tcPr>
          <w:p>
            <w:r>
              <w:rPr>
                <w:sz w:val="16"/>
              </w:rPr>
              <w:t>6,2 %</w:t>
            </w:r>
          </w:p>
        </w:tc>
        <w:tc>
          <w:tcPr>
            <w:tcW w:type="dxa" w:w="2691"/>
          </w:tcPr>
          <w:p>
            <w:r>
              <w:rPr>
                <w:sz w:val="16"/>
              </w:rPr>
              <w:t>51,6</w:t>
            </w:r>
          </w:p>
        </w:tc>
        <w:tc>
          <w:tcPr>
            <w:tcW w:type="dxa" w:w="2691"/>
          </w:tcPr>
          <w:p>
            <w:r>
              <w:rPr>
                <w:sz w:val="16"/>
              </w:rPr>
              <w:t>48,4</w:t>
            </w:r>
          </w:p>
        </w:tc>
      </w:tr>
    </w:tbl>
    <w:p>
      <w:pPr>
        <w:spacing w:after="80" w:before="80" w:line="252" w:lineRule="auto"/>
        <w:jc w:val="left"/>
      </w:pPr>
      <w:r>
        <w:rPr>
          <w:rFonts w:ascii="Calibri" w:hAnsi="Calibri"/>
          <w:b w:val="0"/>
          <w:color w:val="1A1A1A"/>
          <w:sz w:val="17"/>
        </w:rPr>
        <w:t>Lectura: con el sistema operando, Piscina e ICCO concentran el mayor rendimiento de ahorro (57 % y 37 %). Lo Velásquez ahorra ~10 % y además suele caer a cero en noche. Cóndores aporta un ahorro moderado (~6 %) con operación estable. El Gimnasio, en régimen normal, muestra un ahorro muy alto respecto a la línea base previa.</w:t>
      </w:r>
    </w:p>
    <w:p>
      <w:pPr>
        <w:spacing w:after="60" w:before="0" w:line="252" w:lineRule="auto"/>
        <w:jc w:val="left"/>
      </w:pPr>
      <w:r>
        <w:rPr>
          <w:rFonts w:ascii="Calibri" w:hAnsi="Calibri"/>
          <w:b/>
          <w:color w:val="0B3D91"/>
          <w:sz w:val="22"/>
        </w:rPr>
        <w:t>5. Seguimiento operativo (actas / mantención)</w:t>
      </w:r>
    </w:p>
    <w:p>
      <w:pPr>
        <w:spacing w:after="80" w:before="0" w:line="252" w:lineRule="auto"/>
        <w:jc w:val="left"/>
      </w:pPr>
      <w:r>
        <w:rPr>
          <w:rFonts w:ascii="Calibri" w:hAnsi="Calibri"/>
          <w:b w:val="0"/>
          <w:color w:val="1A1A1A"/>
          <w:sz w:val="17"/>
        </w:rPr>
        <w:t>Según el seguimiento de campo y las actas de mantención asociadas al ICCO: se registró la activación de la llave de emergencia, el apoyo WES a la partida de bombas y la intervención del equipo de Celebridad que dejó el sistema hidráulico funcionando. En Lo Velásquez las actas/alertas de control nocturno confirman activaciones automáticas ante consumo residual (p. ej. llaves abiertas). El detalle formal de cada acta se consolidará junto con la auditoría de agosto.</w:t>
      </w:r>
    </w:p>
    <w:p>
      <w:pPr>
        <w:spacing w:after="60" w:before="0" w:line="252" w:lineRule="auto"/>
        <w:jc w:val="left"/>
      </w:pPr>
      <w:r>
        <w:rPr>
          <w:rFonts w:ascii="Calibri" w:hAnsi="Calibri"/>
          <w:b/>
          <w:color w:val="0B3D91"/>
          <w:sz w:val="22"/>
        </w:rPr>
        <w:t>6. Próximos pasos</w:t>
      </w:r>
    </w:p>
    <w:p>
      <w:pPr>
        <w:pStyle w:val="ListNumber"/>
        <w:spacing w:after="20"/>
      </w:pPr>
      <w:r>
        <w:rPr>
          <w:sz w:val="17"/>
        </w:rPr>
        <w:t>Lunes próximo (a más tardar): inicio de auditoría de agosto — consumo, nocturno y % ahorro por punto.</w:t>
      </w:r>
    </w:p>
    <w:p>
      <w:pPr>
        <w:pStyle w:val="ListNumber"/>
        <w:spacing w:after="20"/>
      </w:pPr>
      <w:r>
        <w:rPr>
          <w:sz w:val="17"/>
        </w:rPr>
        <w:t>ICCO: confirmar retiro/normalización de llave de emergencia y retorno al control nocturno programado.</w:t>
      </w:r>
    </w:p>
    <w:p>
      <w:pPr>
        <w:pStyle w:val="ListNumber"/>
        <w:spacing w:after="20"/>
      </w:pPr>
      <w:r>
        <w:rPr>
          <w:sz w:val="17"/>
        </w:rPr>
        <w:t>Mantener control nocturno en Piscina y Lo Velásquez; revisar eventos de llaves abiertas.</w:t>
      </w:r>
    </w:p>
    <w:p>
      <w:pPr>
        <w:pStyle w:val="ListNumber"/>
        <w:spacing w:after="20"/>
      </w:pPr>
      <w:r>
        <w:rPr>
          <w:sz w:val="17"/>
        </w:rPr>
        <w:t>Seguimiento estable de Gimnasio y Cumbre de cóndores.</w:t>
      </w:r>
    </w:p>
    <w:p>
      <w:pPr>
        <w:spacing w:after="40" w:before="120" w:line="252" w:lineRule="auto"/>
        <w:jc w:val="center"/>
      </w:pPr>
      <w:r>
        <w:rPr>
          <w:rFonts w:ascii="Calibri" w:hAnsi="Calibri"/>
          <w:b w:val="0"/>
          <w:color w:val="4A4A4A"/>
          <w:sz w:val="14"/>
        </w:rPr>
        <w:t>Fuente consumos: API WES acl-node (total diario). Ahorros: auditoría Renca abr-2026; Gimnasio = comparativo may-2026 vs línea sin WES abr. Tarifa referencial $1.300/m³.</w:t>
      </w:r>
    </w:p>
    <w:sectPr w:rsidR="00FC693F" w:rsidRPr="0006063C" w:rsidSect="00034616">
      <w:headerReference w:type="default" r:id="rId9"/>
      <w:pgSz w:w="12240" w:h="15840"/>
      <w:pgMar w:top="624" w:right="737" w:bottom="56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