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Borrador respuesta — Belén Larraín / Fundo Zapallar</w:t>
      </w:r>
    </w:p>
    <w:p>
      <w:r>
        <w:t>Estimada Belén:</w:t>
      </w:r>
    </w:p>
    <w:p>
      <w:r>
        <w:t>Junto con saludar, y en respuesta a su correo sobre las inconsistencias detectadas en los informes de consumo del Condominio Fundo Zapallar, le informamos lo siguiente luego de revisar los registros de plataforma, las actas de mantención y la documentación de terreno.</w:t>
      </w:r>
    </w:p>
    <w:p>
      <w:r>
        <w:t>1) Lector Etapa N°5 — bloques de 96 y 200 m³/h</w:t>
      </w:r>
    </w:p>
    <w:p>
      <w:r>
        <w:t>Los valores que ustedes señalan son correctos: el comportamiento del punto Etapa N°5 no corresponde a un caudal continuo real y concentra lecturas en bloques fijos (en particular ~96 m³/h y ~200 m³/h).</w:t>
      </w:r>
    </w:p>
    <w:p>
      <w:r>
        <w:t>Sobre ese punto procederemos a:</w:t>
        <w:br/>
        <w:t>- Revisar en terreno el sensor de pulso (inductivo) instalado sobre su medidor Sensus.</w:t>
        <w:br/>
        <w:t>- Evaluar si el sensor inductivo está fallando en la lectura.</w:t>
        <w:br/>
        <w:t>- Verificar la factibilidad de instalar uno de nuestros caudalímetros ultrasónicos en ese punto.</w:t>
      </w:r>
    </w:p>
    <w:p>
      <w:r>
        <w:t>Como información de contexto (trabajo ya realizado con el fundo):</w:t>
        <w:br/>
        <w:t>En octubre de 2025 se revisó en conjunto con el supervisor del fundo que el monitoreo inicial de Etapa N°5 también capturaba una línea antigua del loteo (además de la línea propia de la etapa). Por ello se decidió reubicar el monitoreo en la cámara MAP dedicada a la línea que alimenta Etapa N°5. El medidor de terreno es marca Sensus y, para tomar el registro de consumo, se implementó un sensor inductivo de pulso. Esa reubicación/puesta en lectura se ejecutó el jueves 13 de noviembre de 2025.</w:t>
      </w:r>
    </w:p>
    <w:p>
      <w:r>
        <w:t>Revisamos la serie desde esa fecha: entre noviembre 2025 y fines de enero 2026 las lecturas se mantuvieron, en general, en rangos acotados y coherentes con un sector de bajo consumo diario. El patrón anómalo de bloques ~96 m³/h se concentra principalmente desde fines de enero / febrero–abril 2026, y existen además episodios de ~200 m³/h asociados a cortes de comunicación. Por eso la revisión del sensor inductivo (y la evaluación de pasar a ultrasónico) es la acción correcta.</w:t>
      </w:r>
    </w:p>
    <w:p>
      <w:r>
        <w:t>2) Matriz ESVAL en cero entre el 2 y el 10 de marzo de 2026</w:t>
      </w:r>
    </w:p>
    <w:p>
      <w:r>
        <w:t>En una primera etapa el monitoreo de Matriz ESVAL se tomaba desde un sensor inductivo sobre el medidor. Con fecha 25/02/2026 ese sensor fue desconectado por terceros, quedando sin dato válido hacia nuestro sistema.</w:t>
      </w:r>
    </w:p>
    <w:p>
      <w:r>
        <w:t>Por lo anterior se realizó una visita para instalar un caudalímetro ultrasónico WES. Desde el 11/03/2026 el monitoreo volvió a activarse. Ese es el motivo por el cual, en el intervalo previo a la reactivación (incluyendo el 2–10 de marzo), el punto aparece en cero o casi cero pese a tener horas registradas.</w:t>
      </w:r>
    </w:p>
    <w:p>
      <w:r>
        <w:t>3) Contraste entre Matriz ESVAL (WES) y lo facturado por ESVAL</w:t>
      </w:r>
    </w:p>
    <w:p>
      <w:r>
        <w:t>Respecto del ciclo 30/12/2025 al 31/01/2026 (boleta N°92825564, cliente 631203-9):</w:t>
        <w:br/>
        <w:t>- En la boleta aparece un ítem de 501 m³.</w:t>
        <w:br/>
        <w:t>- Sin embargo, según las lecturas del medidor de la misma boleta, el consumo del periodo es 7.193 m³ (lectura inicial 339.045 y lectura final 346.238).</w:t>
      </w:r>
    </w:p>
    <w:p>
      <w:r>
        <w:t>Esa diferencia entre “m³ facturados en un ítem” y “delta de lecturas del medidor” es relevante para no comparar fuentes distintas.</w:t>
      </w:r>
    </w:p>
    <w:p>
      <w:r>
        <w:t>Adicionalmente, la lectura presencial de la sanitaria no tiene una hora exacta publicada, mientras WES registra las 24 horas. Para efectos prácticos, al comparar usamos el siguiente criterio operativo: asumimos lectura cerca de las 12:00, descontando las primeras 12 horas del día de lectura inicial y tomando las primeras 12 horas del día de lectura final.</w:t>
      </w:r>
    </w:p>
    <w:p>
      <w:r>
        <w:t>Aplicando ese criterio al mismo ciclo (30/12/2025 12:00 → 30/01/2026 12:00), el consumo WES de Matriz ESVAL resulta ≈7.200 m³, alineado con los 7.193 m³ del medidor/resumen de consumos (diferencia de orden ~7 m³).</w:t>
      </w:r>
    </w:p>
    <w:p>
      <w:r>
        <w:t>Si nos comparten las demás boletas/ciclos, podemos validarlos con el mismo criterio. Con el resumen de consumos ESVAL que ya revisamos, los ciclos anteriores a la desconexión/cambio de febrero–marzo 2026 calzan muy bien con WES; en ciclos posteriores al cambio a ultrasónico conviene revisar punto a punto con las boletas originales.</w:t>
      </w:r>
    </w:p>
    <w:p>
      <w:r>
        <w:t>En cuanto a la ubicación: el lector WES de Matriz ESVAL está instalado para monitorear la matriz de entrada del fundo; confirmaremos/dejaremos constancia en la visita de su posición respecto del medidor fiscal ESVAL.</w:t>
      </w:r>
    </w:p>
    <w:p>
      <w:r>
        <w:t>4) Alertas de consumo</w:t>
      </w:r>
    </w:p>
    <w:p>
      <w:r>
        <w:t>Actualmente las alertas activas corresponden a un esquema de mínimo consumo que se repite en forma idéntica en 2 horas. Eso no cubre el patrón de “caudal mínimo nocturno sostenido” que ustedes describen (por ejemplo, madrugadas con ~2,8–2,9 m³/h).</w:t>
      </w:r>
    </w:p>
    <w:p>
      <w:r>
        <w:t>Podemos complementar con:</w:t>
        <w:br/>
        <w:t>- Una alerta de umbral cuando un punto sobrepase el consumo promedio de los últimos 90 días; y/o</w:t>
        <w:br/>
        <w:t>- Alertas operativas adicionales que ustedes consideren pertinentes para la operación del fundo, las cuales podemos configurar en plataforma y/o generar mediante nuestro agente de monitoreo.</w:t>
      </w:r>
    </w:p>
    <w:p>
      <w:r>
        <w:t>Compromisos inmediatos</w:t>
        <w:br/>
        <w:t>a) Visita a terreno Etapa N°5: revisión del sensor inductivo / evaluación de ultrasónico, con informe escrito.</w:t>
        <w:br/>
        <w:t>b) Dejamos documentada la causa de los ceros de Matriz ESVAL (desconexión 25/02 y reactivación con ultrasónico 11/03).</w:t>
        <w:br/>
        <w:t>c) Confirmación en terreno del punto Matriz ESVAL respecto del medidor ESVAL.</w:t>
        <w:br/>
        <w:t>d) Coordinar con ustedes la configuración de alertas adicionales (umbral 90 días y/o nocturna / otras que definamos).</w:t>
        <w:br/>
        <w:t>e) Criterio técnico: los tramos de Etapa N°5 con bloques fijos anómalos no deben usarse solos para cuantificar volúmenes cobrables; la base de contraste de entrada al fundo debe privilegiar medidor/boleta ESVAL + Matriz ESVAL WES con criterio de horario comparable.</w:t>
      </w:r>
    </w:p>
    <w:p>
      <w:r>
        <w:t>Quedamos atentos para agendar la visita y para que nos reenvíen las boletas restantes a validar.</w:t>
      </w:r>
    </w:p>
    <w:p>
      <w:r>
        <w:t>Saludos cordiales,</w:t>
      </w:r>
    </w:p>
    <w:p>
      <w:r>
        <w:t>Aníbal Aranda Alvarado</w:t>
        <w:br/>
        <w:t>Jefe de Mantenimiento</w:t>
        <w:br/>
        <w:t>Sociedad Tecnológica WES SpA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