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INFORME TÉCNICO</w:t>
      </w:r>
    </w:p>
    <w:p>
      <w:pPr>
        <w:jc w:val="center"/>
      </w:pPr>
      <w:r>
        <w:rPr>
          <w:color w:val="003366"/>
          <w:sz w:val="22"/>
        </w:rPr>
        <w:t>Fundo Zapallar — Hipótesis de falla / sobre-registro</w:t>
        <w:br/>
        <w:t>del medidor fiscal ESVAL</w:t>
        <w:br/>
        <w:t>Validación con las últimas 12 facturaciones</w:t>
      </w:r>
    </w:p>
    <w:p>
      <w:pPr>
        <w:jc w:val="center"/>
      </w:pPr>
      <w:r>
        <w:rPr>
          <w:sz w:val="18"/>
        </w:rPr>
        <w:t>Fecha: 16/09/2026</w:t>
        <w:br/>
        <w:t>Cliente ESVAL 631203-9 · Medidor fiscal 131586</w:t>
        <w:br/>
        <w:t>WES: 000027-01 Matriz ESVAL · 000027-02 Estanque Inferior</w:t>
        <w:br/>
        <w:t>Sociedad Tecnológica WES SpA — Operaciones</w:t>
      </w:r>
    </w:p>
    <w:p>
      <w:pPr>
        <w:pStyle w:val="Heading1"/>
        <w:keepNext/>
        <w:widowControl/>
        <w:spacing w:after="60"/>
      </w:pPr>
      <w:r>
        <w:rPr>
          <w:b/>
          <w:color w:val="003366"/>
        </w:rPr>
        <w:t>1. HIPÓTESIS</w:t>
      </w:r>
    </w:p>
    <w:p>
      <w:r>
        <w:rPr>
          <w:b/>
        </w:rPr>
        <w:t>Hipótesis de trabajo: el medidor fiscal ESVAL (sanitaria) puede estar fallando o sobre-registrando consumo — es decir, marca más agua de la que realmente entra al fundo.</w:t>
      </w:r>
    </w:p>
    <w:p>
      <w:r>
        <w:t>Por qué la planteamos:</w:t>
      </w:r>
    </w:p>
    <w:p>
      <w:pPr>
        <w:pStyle w:val="ListBullet"/>
      </w:pPr>
      <w:r>
        <w:t>El arranque ESVAL alimenta de forma directa el Estanque Inferior. Por eso, el volumen de Matriz ESVAL y el de Estanque Inferior deben ser iguales o muy cercanos.</w:t>
      </w:r>
    </w:p>
    <w:p>
      <w:pPr>
        <w:pStyle w:val="ListBullet"/>
      </w:pPr>
      <w:r>
        <w:t>WES tiene dos caudalímetros ultrasónicos en esas ubicaciones. Si ambos conversan entre sí (leen casi lo mismo) pero la boleta ESVAL marca sistemáticamente más que Matriz WES, el punto débil más plausible es el medidor fiscal de la sanitaria.</w:t>
      </w:r>
    </w:p>
    <w:p>
      <w:pPr>
        <w:pStyle w:val="ListBullet"/>
      </w:pPr>
      <w:r>
        <w:t>No descartamos calibración/punto del ultrasónico; por eso la hipótesis se valida con visita a terreno.</w:t>
      </w:r>
    </w:p>
    <w:p>
      <w:r>
        <w:t>En simple: si mis dos medidores WES se entienden entre ellos y la boleta no cuadra con ellos, tengo base para sospechar del medidor ESVAL y debo ir a comprobarlo.</w:t>
      </w:r>
    </w:p>
    <w:p>
      <w:pPr>
        <w:pStyle w:val="Heading1"/>
        <w:keepNext/>
        <w:widowControl/>
        <w:spacing w:after="60"/>
      </w:pPr>
      <w:r>
        <w:rPr>
          <w:b/>
          <w:color w:val="003366"/>
        </w:rPr>
        <w:t>2. QUÉ REVISAMOS (CRITERIOS)</w:t>
      </w:r>
    </w:p>
    <w:p>
      <w:r>
        <w:t>Últimas 12 facturaciones ESVAL vs Matriz ESVAL WES (criterio 12:00 Chile) y, en paralelo, Matriz ESVAL WES vs Estanque Inferior WES.</w:t>
      </w:r>
    </w:p>
    <w:p>
      <w:pPr>
        <w:pStyle w:val="ListBullet"/>
      </w:pPr>
      <w:r>
        <w:t>Check boleta: ¿delta boleta ≈ Matriz WES? (±5%).</w:t>
      </w:r>
    </w:p>
    <w:p>
      <w:pPr>
        <w:pStyle w:val="ListBullet"/>
      </w:pPr>
      <w:r>
        <w:t>Check WES↔WES: ¿Matriz ≈ Inferior? (85–115%).</w:t>
      </w:r>
    </w:p>
    <w:p>
      <w:pPr>
        <w:pStyle w:val="ListBullet"/>
      </w:pPr>
      <w:r>
        <w:t>Apoya la hipótesis: check boleta = NO y check WES↔WES = SÍ.</w:t>
      </w:r>
    </w:p>
    <w:p>
      <w:pPr>
        <w:pStyle w:val="Heading1"/>
        <w:keepNext/>
        <w:widowControl/>
        <w:spacing w:after="60"/>
      </w:pPr>
      <w:r>
        <w:rPr>
          <w:b/>
          <w:color w:val="003366"/>
        </w:rPr>
        <w:t>3. LAS ÚLTIMAS 12 VALIDACIONES</w:t>
      </w:r>
    </w:p>
    <w:p>
      <w:r>
        <w:t>De 12 ciclos: boleta cuadra en 4; Matriz e Inferior conversan en 6; ciclos que apoyan la hipótesis: 4.</w:t>
      </w:r>
    </w:p>
    <w:tbl>
      <w:tblPr>
        <w:tblStyle w:val="TableGrid"/>
        <w:tblW w:type="auto" w:w="0"/>
        <w:tblLook w:firstColumn="1" w:firstRow="1" w:lastColumn="0" w:lastRow="0" w:noHBand="0" w:noVBand="1" w:val="04A0"/>
      </w:tblPr>
      <w:tblGrid>
        <w:gridCol w:w="1473"/>
        <w:gridCol w:w="1473"/>
        <w:gridCol w:w="1473"/>
        <w:gridCol w:w="1473"/>
        <w:gridCol w:w="1473"/>
        <w:gridCol w:w="1473"/>
        <w:gridCol w:w="1473"/>
      </w:tblGrid>
      <w:tr>
        <w:trPr>
          <w:cantSplit/>
        </w:trPr>
        <w:tc>
          <w:tcPr>
            <w:tcW w:type="dxa" w:w="1473"/>
            <w:shd w:val="clear" w:fill="003366"/>
          </w:tcPr>
          <w:p>
            <w:pPr>
              <w:spacing w:before="20" w:after="20"/>
            </w:pPr>
            <w:r>
              <w:rPr>
                <w:b/>
                <w:color w:val="FFFFFF"/>
                <w:sz w:val="18"/>
              </w:rPr>
              <w:t>Ciclo</w:t>
            </w:r>
          </w:p>
        </w:tc>
        <w:tc>
          <w:tcPr>
            <w:tcW w:type="dxa" w:w="1473"/>
            <w:shd w:val="clear" w:fill="003366"/>
          </w:tcPr>
          <w:p>
            <w:pPr>
              <w:spacing w:before="20" w:after="20"/>
            </w:pPr>
            <w:r>
              <w:rPr>
                <w:b/>
                <w:color w:val="FFFFFF"/>
                <w:sz w:val="18"/>
              </w:rPr>
              <w:t>Boleta</w:t>
              <w:br/>
              <w:t>(m³)</w:t>
            </w:r>
          </w:p>
        </w:tc>
        <w:tc>
          <w:tcPr>
            <w:tcW w:type="dxa" w:w="1473"/>
            <w:shd w:val="clear" w:fill="003366"/>
          </w:tcPr>
          <w:p>
            <w:pPr>
              <w:spacing w:before="20" w:after="20"/>
            </w:pPr>
            <w:r>
              <w:rPr>
                <w:b/>
                <w:color w:val="FFFFFF"/>
                <w:sz w:val="18"/>
              </w:rPr>
              <w:t>Matriz</w:t>
              <w:br/>
              <w:t>WES</w:t>
            </w:r>
          </w:p>
        </w:tc>
        <w:tc>
          <w:tcPr>
            <w:tcW w:type="dxa" w:w="1473"/>
            <w:shd w:val="clear" w:fill="003366"/>
          </w:tcPr>
          <w:p>
            <w:pPr>
              <w:spacing w:before="20" w:after="20"/>
            </w:pPr>
            <w:r>
              <w:rPr>
                <w:b/>
                <w:color w:val="FFFFFF"/>
                <w:sz w:val="18"/>
              </w:rPr>
              <w:t>Inferior</w:t>
              <w:br/>
              <w:t>WES</w:t>
            </w:r>
          </w:p>
        </w:tc>
        <w:tc>
          <w:tcPr>
            <w:tcW w:type="dxa" w:w="1473"/>
            <w:shd w:val="clear" w:fill="003366"/>
          </w:tcPr>
          <w:p>
            <w:pPr>
              <w:spacing w:before="20" w:after="20"/>
            </w:pPr>
            <w:r>
              <w:rPr>
                <w:b/>
                <w:color w:val="FFFFFF"/>
                <w:sz w:val="18"/>
              </w:rPr>
              <w:t>Check</w:t>
              <w:br/>
              <w:t>boleta</w:t>
            </w:r>
          </w:p>
        </w:tc>
        <w:tc>
          <w:tcPr>
            <w:tcW w:type="dxa" w:w="1473"/>
            <w:shd w:val="clear" w:fill="003366"/>
          </w:tcPr>
          <w:p>
            <w:pPr>
              <w:spacing w:before="20" w:after="20"/>
            </w:pPr>
            <w:r>
              <w:rPr>
                <w:b/>
                <w:color w:val="FFFFFF"/>
                <w:sz w:val="18"/>
              </w:rPr>
              <w:t>Check</w:t>
              <w:br/>
              <w:t>WES↔WES</w:t>
            </w:r>
          </w:p>
        </w:tc>
        <w:tc>
          <w:tcPr>
            <w:tcW w:type="dxa" w:w="1473"/>
            <w:shd w:val="clear" w:fill="003366"/>
          </w:tcPr>
          <w:p>
            <w:pPr>
              <w:spacing w:before="20" w:after="20"/>
            </w:pPr>
            <w:r>
              <w:rPr>
                <w:b/>
                <w:color w:val="FFFFFF"/>
                <w:sz w:val="18"/>
              </w:rPr>
              <w:t>¿Apoya</w:t>
              <w:br/>
              <w:t>hipótesis?</w:t>
            </w:r>
          </w:p>
        </w:tc>
      </w:tr>
      <w:tr>
        <w:trPr>
          <w:cantSplit/>
        </w:trPr>
        <w:tc>
          <w:tcPr>
            <w:tcW w:type="dxa" w:w="1473"/>
            <w:shd w:val="clear" w:fill="FFE6E6"/>
          </w:tcPr>
          <w:p>
            <w:pPr>
              <w:spacing w:before="20" w:after="20"/>
            </w:pPr>
            <w:r>
              <w:rPr>
                <w:b/>
                <w:color w:val="C80000"/>
                <w:sz w:val="16"/>
              </w:rPr>
              <w:t>28/08–27/09/25</w:t>
            </w:r>
          </w:p>
        </w:tc>
        <w:tc>
          <w:tcPr>
            <w:tcW w:type="dxa" w:w="1473"/>
            <w:shd w:val="clear" w:fill="FFE6E6"/>
          </w:tcPr>
          <w:p>
            <w:pPr>
              <w:spacing w:before="20" w:after="20"/>
            </w:pPr>
            <w:r>
              <w:rPr>
                <w:b/>
                <w:color w:val="C80000"/>
                <w:sz w:val="16"/>
              </w:rPr>
              <w:t>3.375</w:t>
            </w:r>
          </w:p>
        </w:tc>
        <w:tc>
          <w:tcPr>
            <w:tcW w:type="dxa" w:w="1473"/>
            <w:shd w:val="clear" w:fill="FFE6E6"/>
          </w:tcPr>
          <w:p>
            <w:pPr>
              <w:spacing w:before="20" w:after="20"/>
            </w:pPr>
            <w:r>
              <w:rPr>
                <w:b/>
                <w:color w:val="C80000"/>
                <w:sz w:val="16"/>
              </w:rPr>
              <w:t>3.189</w:t>
            </w:r>
          </w:p>
        </w:tc>
        <w:tc>
          <w:tcPr>
            <w:tcW w:type="dxa" w:w="1473"/>
            <w:shd w:val="clear" w:fill="FFE6E6"/>
          </w:tcPr>
          <w:p>
            <w:pPr>
              <w:spacing w:before="20" w:after="20"/>
            </w:pPr>
            <w:r>
              <w:rPr>
                <w:b/>
                <w:color w:val="C80000"/>
                <w:sz w:val="16"/>
              </w:rPr>
              <w:t>2.982</w:t>
            </w:r>
          </w:p>
        </w:tc>
        <w:tc>
          <w:tcPr>
            <w:tcW w:type="dxa" w:w="1473"/>
            <w:shd w:val="clear" w:fill="FFE6E6"/>
          </w:tcPr>
          <w:p>
            <w:pPr>
              <w:spacing w:before="20" w:after="20"/>
            </w:pPr>
            <w:r>
              <w:rPr>
                <w:b/>
                <w:color w:val="C80000"/>
                <w:sz w:val="16"/>
              </w:rPr>
              <w:t>✗ (-5.5%)</w:t>
            </w:r>
          </w:p>
        </w:tc>
        <w:tc>
          <w:tcPr>
            <w:tcW w:type="dxa" w:w="1473"/>
            <w:shd w:val="clear" w:fill="FFE6E6"/>
          </w:tcPr>
          <w:p>
            <w:pPr>
              <w:spacing w:before="20" w:after="20"/>
            </w:pPr>
            <w:r>
              <w:rPr>
                <w:b/>
                <w:color w:val="C80000"/>
                <w:sz w:val="16"/>
              </w:rPr>
              <w:t>✓ (94%)</w:t>
            </w:r>
          </w:p>
        </w:tc>
        <w:tc>
          <w:tcPr>
            <w:tcW w:type="dxa" w:w="1473"/>
            <w:shd w:val="clear" w:fill="FFE6E6"/>
          </w:tcPr>
          <w:p>
            <w:pPr>
              <w:spacing w:before="20" w:after="20"/>
            </w:pPr>
            <w:r>
              <w:rPr>
                <w:b/>
                <w:color w:val="C80000"/>
                <w:sz w:val="16"/>
              </w:rPr>
              <w:t>SÍ</w:t>
            </w:r>
          </w:p>
        </w:tc>
      </w:tr>
      <w:tr>
        <w:trPr>
          <w:cantSplit/>
        </w:trPr>
        <w:tc>
          <w:tcPr>
            <w:tcW w:type="dxa" w:w="1473"/>
            <w:shd w:val="clear" w:fill="F2F6FC"/>
          </w:tcPr>
          <w:p>
            <w:pPr>
              <w:spacing w:before="20" w:after="20"/>
            </w:pPr>
            <w:r>
              <w:rPr>
                <w:sz w:val="16"/>
              </w:rPr>
              <w:t>27/09–29/10/25</w:t>
            </w:r>
          </w:p>
        </w:tc>
        <w:tc>
          <w:tcPr>
            <w:tcW w:type="dxa" w:w="1473"/>
            <w:shd w:val="clear" w:fill="F2F6FC"/>
          </w:tcPr>
          <w:p>
            <w:pPr>
              <w:spacing w:before="20" w:after="20"/>
            </w:pPr>
            <w:r>
              <w:rPr>
                <w:sz w:val="16"/>
              </w:rPr>
              <w:t>3.973</w:t>
            </w:r>
          </w:p>
        </w:tc>
        <w:tc>
          <w:tcPr>
            <w:tcW w:type="dxa" w:w="1473"/>
            <w:shd w:val="clear" w:fill="F2F6FC"/>
          </w:tcPr>
          <w:p>
            <w:pPr>
              <w:spacing w:before="20" w:after="20"/>
            </w:pPr>
            <w:r>
              <w:rPr>
                <w:sz w:val="16"/>
              </w:rPr>
              <w:t>4.086</w:t>
            </w:r>
          </w:p>
        </w:tc>
        <w:tc>
          <w:tcPr>
            <w:tcW w:type="dxa" w:w="1473"/>
            <w:shd w:val="clear" w:fill="F2F6FC"/>
          </w:tcPr>
          <w:p>
            <w:pPr>
              <w:spacing w:before="20" w:after="20"/>
            </w:pPr>
            <w:r>
              <w:rPr>
                <w:sz w:val="16"/>
              </w:rPr>
              <w:t>4.267</w:t>
            </w:r>
          </w:p>
        </w:tc>
        <w:tc>
          <w:tcPr>
            <w:tcW w:type="dxa" w:w="1473"/>
            <w:shd w:val="clear" w:fill="F2F6FC"/>
          </w:tcPr>
          <w:p>
            <w:pPr>
              <w:spacing w:before="20" w:after="20"/>
            </w:pPr>
            <w:r>
              <w:rPr>
                <w:sz w:val="16"/>
              </w:rPr>
              <w:t>✓ (+2.9%)</w:t>
            </w:r>
          </w:p>
        </w:tc>
        <w:tc>
          <w:tcPr>
            <w:tcW w:type="dxa" w:w="1473"/>
            <w:shd w:val="clear" w:fill="F2F6FC"/>
          </w:tcPr>
          <w:p>
            <w:pPr>
              <w:spacing w:before="20" w:after="20"/>
            </w:pPr>
            <w:r>
              <w:rPr>
                <w:sz w:val="16"/>
              </w:rPr>
              <w:t>✓ (104%)</w:t>
            </w:r>
          </w:p>
        </w:tc>
        <w:tc>
          <w:tcPr>
            <w:tcW w:type="dxa" w:w="1473"/>
            <w:shd w:val="clear" w:fill="F2F6FC"/>
          </w:tcPr>
          <w:p>
            <w:pPr>
              <w:spacing w:before="20" w:after="20"/>
            </w:pPr>
            <w:r>
              <w:rPr>
                <w:sz w:val="16"/>
              </w:rPr>
              <w:t>—</w:t>
            </w:r>
          </w:p>
        </w:tc>
      </w:tr>
      <w:tr>
        <w:trPr>
          <w:cantSplit/>
        </w:trPr>
        <w:tc>
          <w:tcPr>
            <w:tcW w:type="dxa" w:w="1473"/>
          </w:tcPr>
          <w:p>
            <w:pPr>
              <w:spacing w:before="20" w:after="20"/>
            </w:pPr>
            <w:r>
              <w:rPr>
                <w:sz w:val="16"/>
              </w:rPr>
              <w:t>29/10–28/11/25</w:t>
            </w:r>
          </w:p>
        </w:tc>
        <w:tc>
          <w:tcPr>
            <w:tcW w:type="dxa" w:w="1473"/>
          </w:tcPr>
          <w:p>
            <w:pPr>
              <w:spacing w:before="20" w:after="20"/>
            </w:pPr>
            <w:r>
              <w:rPr>
                <w:sz w:val="16"/>
              </w:rPr>
              <w:t>5.711</w:t>
            </w:r>
          </w:p>
        </w:tc>
        <w:tc>
          <w:tcPr>
            <w:tcW w:type="dxa" w:w="1473"/>
          </w:tcPr>
          <w:p>
            <w:pPr>
              <w:spacing w:before="20" w:after="20"/>
            </w:pPr>
            <w:r>
              <w:rPr>
                <w:sz w:val="16"/>
              </w:rPr>
              <w:t>5.678</w:t>
            </w:r>
          </w:p>
        </w:tc>
        <w:tc>
          <w:tcPr>
            <w:tcW w:type="dxa" w:w="1473"/>
          </w:tcPr>
          <w:p>
            <w:pPr>
              <w:spacing w:before="20" w:after="20"/>
            </w:pPr>
            <w:r>
              <w:rPr>
                <w:sz w:val="16"/>
              </w:rPr>
              <w:t>5.081</w:t>
            </w:r>
          </w:p>
        </w:tc>
        <w:tc>
          <w:tcPr>
            <w:tcW w:type="dxa" w:w="1473"/>
          </w:tcPr>
          <w:p>
            <w:pPr>
              <w:spacing w:before="20" w:after="20"/>
            </w:pPr>
            <w:r>
              <w:rPr>
                <w:sz w:val="16"/>
              </w:rPr>
              <w:t>✓ (-0.6%)</w:t>
            </w:r>
          </w:p>
        </w:tc>
        <w:tc>
          <w:tcPr>
            <w:tcW w:type="dxa" w:w="1473"/>
          </w:tcPr>
          <w:p>
            <w:pPr>
              <w:spacing w:before="20" w:after="20"/>
            </w:pPr>
            <w:r>
              <w:rPr>
                <w:sz w:val="16"/>
              </w:rPr>
              <w:t>✓ (89%)</w:t>
            </w:r>
          </w:p>
        </w:tc>
        <w:tc>
          <w:tcPr>
            <w:tcW w:type="dxa" w:w="1473"/>
          </w:tcPr>
          <w:p>
            <w:pPr>
              <w:spacing w:before="20" w:after="20"/>
            </w:pPr>
            <w:r>
              <w:rPr>
                <w:sz w:val="16"/>
              </w:rPr>
              <w:t>—</w:t>
            </w:r>
          </w:p>
        </w:tc>
      </w:tr>
      <w:tr>
        <w:trPr>
          <w:cantSplit/>
        </w:trPr>
        <w:tc>
          <w:tcPr>
            <w:tcW w:type="dxa" w:w="1473"/>
            <w:shd w:val="clear" w:fill="F2F6FC"/>
          </w:tcPr>
          <w:p>
            <w:pPr>
              <w:spacing w:before="20" w:after="20"/>
            </w:pPr>
            <w:r>
              <w:rPr>
                <w:sz w:val="16"/>
              </w:rPr>
              <w:t>28/11–30/12/25</w:t>
            </w:r>
          </w:p>
        </w:tc>
        <w:tc>
          <w:tcPr>
            <w:tcW w:type="dxa" w:w="1473"/>
            <w:shd w:val="clear" w:fill="F2F6FC"/>
          </w:tcPr>
          <w:p>
            <w:pPr>
              <w:spacing w:before="20" w:after="20"/>
            </w:pPr>
            <w:r>
              <w:rPr>
                <w:sz w:val="16"/>
              </w:rPr>
              <w:t>6.319</w:t>
            </w:r>
          </w:p>
        </w:tc>
        <w:tc>
          <w:tcPr>
            <w:tcW w:type="dxa" w:w="1473"/>
            <w:shd w:val="clear" w:fill="F2F6FC"/>
          </w:tcPr>
          <w:p>
            <w:pPr>
              <w:spacing w:before="20" w:after="20"/>
            </w:pPr>
            <w:r>
              <w:rPr>
                <w:sz w:val="16"/>
              </w:rPr>
              <w:t>6.269</w:t>
            </w:r>
          </w:p>
        </w:tc>
        <w:tc>
          <w:tcPr>
            <w:tcW w:type="dxa" w:w="1473"/>
            <w:shd w:val="clear" w:fill="F2F6FC"/>
          </w:tcPr>
          <w:p>
            <w:pPr>
              <w:spacing w:before="20" w:after="20"/>
            </w:pPr>
            <w:r>
              <w:rPr>
                <w:sz w:val="16"/>
              </w:rPr>
              <w:t>5.309</w:t>
            </w:r>
          </w:p>
        </w:tc>
        <w:tc>
          <w:tcPr>
            <w:tcW w:type="dxa" w:w="1473"/>
            <w:shd w:val="clear" w:fill="F2F6FC"/>
          </w:tcPr>
          <w:p>
            <w:pPr>
              <w:spacing w:before="20" w:after="20"/>
            </w:pPr>
            <w:r>
              <w:rPr>
                <w:sz w:val="16"/>
              </w:rPr>
              <w:t>✓ (-0.8%)</w:t>
            </w:r>
          </w:p>
        </w:tc>
        <w:tc>
          <w:tcPr>
            <w:tcW w:type="dxa" w:w="1473"/>
            <w:shd w:val="clear" w:fill="F2F6FC"/>
          </w:tcPr>
          <w:p>
            <w:pPr>
              <w:spacing w:before="20" w:after="20"/>
            </w:pPr>
            <w:r>
              <w:rPr>
                <w:sz w:val="16"/>
              </w:rPr>
              <w:t>~ (85%)</w:t>
            </w:r>
          </w:p>
        </w:tc>
        <w:tc>
          <w:tcPr>
            <w:tcW w:type="dxa" w:w="1473"/>
            <w:shd w:val="clear" w:fill="F2F6FC"/>
          </w:tcPr>
          <w:p>
            <w:pPr>
              <w:spacing w:before="20" w:after="20"/>
            </w:pPr>
            <w:r>
              <w:rPr>
                <w:sz w:val="16"/>
              </w:rPr>
              <w:t>—</w:t>
            </w:r>
          </w:p>
        </w:tc>
      </w:tr>
      <w:tr>
        <w:trPr>
          <w:cantSplit/>
        </w:trPr>
        <w:tc>
          <w:tcPr>
            <w:tcW w:type="dxa" w:w="1473"/>
          </w:tcPr>
          <w:p>
            <w:pPr>
              <w:spacing w:before="20" w:after="20"/>
            </w:pPr>
            <w:r>
              <w:rPr>
                <w:sz w:val="16"/>
              </w:rPr>
              <w:t>30/12–30/01/26</w:t>
            </w:r>
          </w:p>
        </w:tc>
        <w:tc>
          <w:tcPr>
            <w:tcW w:type="dxa" w:w="1473"/>
          </w:tcPr>
          <w:p>
            <w:pPr>
              <w:spacing w:before="20" w:after="20"/>
            </w:pPr>
            <w:r>
              <w:rPr>
                <w:sz w:val="16"/>
              </w:rPr>
              <w:t>7.193</w:t>
            </w:r>
          </w:p>
        </w:tc>
        <w:tc>
          <w:tcPr>
            <w:tcW w:type="dxa" w:w="1473"/>
          </w:tcPr>
          <w:p>
            <w:pPr>
              <w:spacing w:before="20" w:after="20"/>
            </w:pPr>
            <w:r>
              <w:rPr>
                <w:sz w:val="16"/>
              </w:rPr>
              <w:t>7.200</w:t>
            </w:r>
          </w:p>
        </w:tc>
        <w:tc>
          <w:tcPr>
            <w:tcW w:type="dxa" w:w="1473"/>
          </w:tcPr>
          <w:p>
            <w:pPr>
              <w:spacing w:before="20" w:after="20"/>
            </w:pPr>
            <w:r>
              <w:rPr>
                <w:sz w:val="16"/>
              </w:rPr>
              <w:t>6.109</w:t>
            </w:r>
          </w:p>
        </w:tc>
        <w:tc>
          <w:tcPr>
            <w:tcW w:type="dxa" w:w="1473"/>
          </w:tcPr>
          <w:p>
            <w:pPr>
              <w:spacing w:before="20" w:after="20"/>
            </w:pPr>
            <w:r>
              <w:rPr>
                <w:sz w:val="16"/>
              </w:rPr>
              <w:t>✓ (+0.1%)</w:t>
            </w:r>
          </w:p>
        </w:tc>
        <w:tc>
          <w:tcPr>
            <w:tcW w:type="dxa" w:w="1473"/>
          </w:tcPr>
          <w:p>
            <w:pPr>
              <w:spacing w:before="20" w:after="20"/>
            </w:pPr>
            <w:r>
              <w:rPr>
                <w:sz w:val="16"/>
              </w:rPr>
              <w:t>~ (85%)</w:t>
            </w:r>
          </w:p>
        </w:tc>
        <w:tc>
          <w:tcPr>
            <w:tcW w:type="dxa" w:w="1473"/>
          </w:tcPr>
          <w:p>
            <w:pPr>
              <w:spacing w:before="20" w:after="20"/>
            </w:pPr>
            <w:r>
              <w:rPr>
                <w:sz w:val="16"/>
              </w:rPr>
              <w:t>—</w:t>
            </w:r>
          </w:p>
        </w:tc>
      </w:tr>
      <w:tr>
        <w:trPr>
          <w:cantSplit/>
        </w:trPr>
        <w:tc>
          <w:tcPr>
            <w:tcW w:type="dxa" w:w="1473"/>
            <w:shd w:val="clear" w:fill="FFE6E6"/>
          </w:tcPr>
          <w:p>
            <w:pPr>
              <w:spacing w:before="20" w:after="20"/>
            </w:pPr>
            <w:r>
              <w:rPr>
                <w:b/>
                <w:color w:val="C80000"/>
                <w:sz w:val="16"/>
              </w:rPr>
              <w:t>30/01–27/02/26</w:t>
            </w:r>
          </w:p>
        </w:tc>
        <w:tc>
          <w:tcPr>
            <w:tcW w:type="dxa" w:w="1473"/>
            <w:shd w:val="clear" w:fill="FFE6E6"/>
          </w:tcPr>
          <w:p>
            <w:pPr>
              <w:spacing w:before="20" w:after="20"/>
            </w:pPr>
            <w:r>
              <w:rPr>
                <w:b/>
                <w:color w:val="C80000"/>
                <w:sz w:val="16"/>
              </w:rPr>
              <w:t>6.478</w:t>
            </w:r>
          </w:p>
        </w:tc>
        <w:tc>
          <w:tcPr>
            <w:tcW w:type="dxa" w:w="1473"/>
            <w:shd w:val="clear" w:fill="FFE6E6"/>
          </w:tcPr>
          <w:p>
            <w:pPr>
              <w:spacing w:before="20" w:after="20"/>
            </w:pPr>
            <w:r>
              <w:rPr>
                <w:b/>
                <w:color w:val="C80000"/>
                <w:sz w:val="16"/>
              </w:rPr>
              <w:t>5.716</w:t>
            </w:r>
          </w:p>
        </w:tc>
        <w:tc>
          <w:tcPr>
            <w:tcW w:type="dxa" w:w="1473"/>
            <w:shd w:val="clear" w:fill="FFE6E6"/>
          </w:tcPr>
          <w:p>
            <w:pPr>
              <w:spacing w:before="20" w:after="20"/>
            </w:pPr>
            <w:r>
              <w:rPr>
                <w:b/>
                <w:color w:val="C80000"/>
                <w:sz w:val="16"/>
              </w:rPr>
              <w:t>6.432</w:t>
            </w:r>
          </w:p>
        </w:tc>
        <w:tc>
          <w:tcPr>
            <w:tcW w:type="dxa" w:w="1473"/>
            <w:shd w:val="clear" w:fill="FFE6E6"/>
          </w:tcPr>
          <w:p>
            <w:pPr>
              <w:spacing w:before="20" w:after="20"/>
            </w:pPr>
            <w:r>
              <w:rPr>
                <w:b/>
                <w:color w:val="C80000"/>
                <w:sz w:val="16"/>
              </w:rPr>
              <w:t>✗ (-11.8%)</w:t>
            </w:r>
          </w:p>
        </w:tc>
        <w:tc>
          <w:tcPr>
            <w:tcW w:type="dxa" w:w="1473"/>
            <w:shd w:val="clear" w:fill="FFE6E6"/>
          </w:tcPr>
          <w:p>
            <w:pPr>
              <w:spacing w:before="20" w:after="20"/>
            </w:pPr>
            <w:r>
              <w:rPr>
                <w:b/>
                <w:color w:val="C80000"/>
                <w:sz w:val="16"/>
              </w:rPr>
              <w:t>✓ (113%)</w:t>
            </w:r>
          </w:p>
        </w:tc>
        <w:tc>
          <w:tcPr>
            <w:tcW w:type="dxa" w:w="1473"/>
            <w:shd w:val="clear" w:fill="FFE6E6"/>
          </w:tcPr>
          <w:p>
            <w:pPr>
              <w:spacing w:before="20" w:after="20"/>
            </w:pPr>
            <w:r>
              <w:rPr>
                <w:b/>
                <w:color w:val="C80000"/>
                <w:sz w:val="16"/>
              </w:rPr>
              <w:t>SÍ</w:t>
            </w:r>
          </w:p>
        </w:tc>
      </w:tr>
      <w:tr>
        <w:trPr>
          <w:cantSplit/>
        </w:trPr>
        <w:tc>
          <w:tcPr>
            <w:tcW w:type="dxa" w:w="1473"/>
          </w:tcPr>
          <w:p>
            <w:pPr>
              <w:spacing w:before="20" w:after="20"/>
            </w:pPr>
            <w:r>
              <w:rPr>
                <w:sz w:val="16"/>
              </w:rPr>
              <w:t>27/02–30/03/26</w:t>
            </w:r>
          </w:p>
        </w:tc>
        <w:tc>
          <w:tcPr>
            <w:tcW w:type="dxa" w:w="1473"/>
          </w:tcPr>
          <w:p>
            <w:pPr>
              <w:spacing w:before="20" w:after="20"/>
            </w:pPr>
            <w:r>
              <w:rPr>
                <w:sz w:val="16"/>
              </w:rPr>
              <w:t>6.793</w:t>
            </w:r>
          </w:p>
        </w:tc>
        <w:tc>
          <w:tcPr>
            <w:tcW w:type="dxa" w:w="1473"/>
          </w:tcPr>
          <w:p>
            <w:pPr>
              <w:spacing w:before="20" w:after="20"/>
            </w:pPr>
            <w:r>
              <w:rPr>
                <w:sz w:val="16"/>
              </w:rPr>
              <w:t>1.867</w:t>
            </w:r>
          </w:p>
        </w:tc>
        <w:tc>
          <w:tcPr>
            <w:tcW w:type="dxa" w:w="1473"/>
          </w:tcPr>
          <w:p>
            <w:pPr>
              <w:spacing w:before="20" w:after="20"/>
            </w:pPr>
            <w:r>
              <w:rPr>
                <w:sz w:val="16"/>
              </w:rPr>
              <w:t>11.809</w:t>
            </w:r>
          </w:p>
        </w:tc>
        <w:tc>
          <w:tcPr>
            <w:tcW w:type="dxa" w:w="1473"/>
          </w:tcPr>
          <w:p>
            <w:pPr>
              <w:spacing w:before="20" w:after="20"/>
            </w:pPr>
            <w:r>
              <w:rPr>
                <w:sz w:val="16"/>
              </w:rPr>
              <w:t>✗ (-72.5%)</w:t>
            </w:r>
          </w:p>
        </w:tc>
        <w:tc>
          <w:tcPr>
            <w:tcW w:type="dxa" w:w="1473"/>
          </w:tcPr>
          <w:p>
            <w:pPr>
              <w:spacing w:before="20" w:after="20"/>
            </w:pPr>
            <w:r>
              <w:rPr>
                <w:sz w:val="16"/>
              </w:rPr>
              <w:t>✗ (633%)</w:t>
            </w:r>
          </w:p>
        </w:tc>
        <w:tc>
          <w:tcPr>
            <w:tcW w:type="dxa" w:w="1473"/>
          </w:tcPr>
          <w:p>
            <w:pPr>
              <w:spacing w:before="20" w:after="20"/>
            </w:pPr>
            <w:r>
              <w:rPr>
                <w:sz w:val="16"/>
              </w:rPr>
              <w:t>N/A</w:t>
            </w:r>
          </w:p>
        </w:tc>
      </w:tr>
      <w:tr>
        <w:trPr>
          <w:cantSplit/>
        </w:trPr>
        <w:tc>
          <w:tcPr>
            <w:tcW w:type="dxa" w:w="1473"/>
            <w:shd w:val="clear" w:fill="F2F6FC"/>
          </w:tcPr>
          <w:p>
            <w:pPr>
              <w:spacing w:before="20" w:after="20"/>
            </w:pPr>
            <w:r>
              <w:rPr>
                <w:sz w:val="16"/>
              </w:rPr>
              <w:t>30/03–29/04/26</w:t>
            </w:r>
          </w:p>
        </w:tc>
        <w:tc>
          <w:tcPr>
            <w:tcW w:type="dxa" w:w="1473"/>
            <w:shd w:val="clear" w:fill="F2F6FC"/>
          </w:tcPr>
          <w:p>
            <w:pPr>
              <w:spacing w:before="20" w:after="20"/>
            </w:pPr>
            <w:r>
              <w:rPr>
                <w:sz w:val="16"/>
              </w:rPr>
              <w:t>6.034</w:t>
            </w:r>
          </w:p>
        </w:tc>
        <w:tc>
          <w:tcPr>
            <w:tcW w:type="dxa" w:w="1473"/>
            <w:shd w:val="clear" w:fill="F2F6FC"/>
          </w:tcPr>
          <w:p>
            <w:pPr>
              <w:spacing w:before="20" w:after="20"/>
            </w:pPr>
            <w:r>
              <w:rPr>
                <w:sz w:val="16"/>
              </w:rPr>
              <w:t>2.997</w:t>
            </w:r>
          </w:p>
        </w:tc>
        <w:tc>
          <w:tcPr>
            <w:tcW w:type="dxa" w:w="1473"/>
            <w:shd w:val="clear" w:fill="F2F6FC"/>
          </w:tcPr>
          <w:p>
            <w:pPr>
              <w:spacing w:before="20" w:after="20"/>
            </w:pPr>
            <w:r>
              <w:rPr>
                <w:sz w:val="16"/>
              </w:rPr>
              <w:t>8.784</w:t>
            </w:r>
          </w:p>
        </w:tc>
        <w:tc>
          <w:tcPr>
            <w:tcW w:type="dxa" w:w="1473"/>
            <w:shd w:val="clear" w:fill="F2F6FC"/>
          </w:tcPr>
          <w:p>
            <w:pPr>
              <w:spacing w:before="20" w:after="20"/>
            </w:pPr>
            <w:r>
              <w:rPr>
                <w:sz w:val="16"/>
              </w:rPr>
              <w:t>✗ (-50.3%)</w:t>
            </w:r>
          </w:p>
        </w:tc>
        <w:tc>
          <w:tcPr>
            <w:tcW w:type="dxa" w:w="1473"/>
            <w:shd w:val="clear" w:fill="F2F6FC"/>
          </w:tcPr>
          <w:p>
            <w:pPr>
              <w:spacing w:before="20" w:after="20"/>
            </w:pPr>
            <w:r>
              <w:rPr>
                <w:sz w:val="16"/>
              </w:rPr>
              <w:t>✗ (293%)</w:t>
            </w:r>
          </w:p>
        </w:tc>
        <w:tc>
          <w:tcPr>
            <w:tcW w:type="dxa" w:w="1473"/>
            <w:shd w:val="clear" w:fill="F2F6FC"/>
          </w:tcPr>
          <w:p>
            <w:pPr>
              <w:spacing w:before="20" w:after="20"/>
            </w:pPr>
            <w:r>
              <w:rPr>
                <w:sz w:val="16"/>
              </w:rPr>
              <w:t>Revisar</w:t>
            </w:r>
          </w:p>
        </w:tc>
      </w:tr>
      <w:tr>
        <w:trPr>
          <w:cantSplit/>
        </w:trPr>
        <w:tc>
          <w:tcPr>
            <w:tcW w:type="dxa" w:w="1473"/>
            <w:shd w:val="clear" w:fill="FFE6E6"/>
          </w:tcPr>
          <w:p>
            <w:pPr>
              <w:spacing w:before="20" w:after="20"/>
            </w:pPr>
            <w:r>
              <w:rPr>
                <w:b/>
                <w:color w:val="C80000"/>
                <w:sz w:val="16"/>
              </w:rPr>
              <w:t>29/04–29/05/26</w:t>
            </w:r>
          </w:p>
        </w:tc>
        <w:tc>
          <w:tcPr>
            <w:tcW w:type="dxa" w:w="1473"/>
            <w:shd w:val="clear" w:fill="FFE6E6"/>
          </w:tcPr>
          <w:p>
            <w:pPr>
              <w:spacing w:before="20" w:after="20"/>
            </w:pPr>
            <w:r>
              <w:rPr>
                <w:b/>
                <w:color w:val="C80000"/>
                <w:sz w:val="16"/>
              </w:rPr>
              <w:t>4.566</w:t>
            </w:r>
          </w:p>
        </w:tc>
        <w:tc>
          <w:tcPr>
            <w:tcW w:type="dxa" w:w="1473"/>
            <w:shd w:val="clear" w:fill="FFE6E6"/>
          </w:tcPr>
          <w:p>
            <w:pPr>
              <w:spacing w:before="20" w:after="20"/>
            </w:pPr>
            <w:r>
              <w:rPr>
                <w:b/>
                <w:color w:val="C80000"/>
                <w:sz w:val="16"/>
              </w:rPr>
              <w:t>3.254</w:t>
            </w:r>
          </w:p>
        </w:tc>
        <w:tc>
          <w:tcPr>
            <w:tcW w:type="dxa" w:w="1473"/>
            <w:shd w:val="clear" w:fill="FFE6E6"/>
          </w:tcPr>
          <w:p>
            <w:pPr>
              <w:spacing w:before="20" w:after="20"/>
            </w:pPr>
            <w:r>
              <w:rPr>
                <w:b/>
                <w:color w:val="C80000"/>
                <w:sz w:val="16"/>
              </w:rPr>
              <w:t>2.986</w:t>
            </w:r>
          </w:p>
        </w:tc>
        <w:tc>
          <w:tcPr>
            <w:tcW w:type="dxa" w:w="1473"/>
            <w:shd w:val="clear" w:fill="FFE6E6"/>
          </w:tcPr>
          <w:p>
            <w:pPr>
              <w:spacing w:before="20" w:after="20"/>
            </w:pPr>
            <w:r>
              <w:rPr>
                <w:b/>
                <w:color w:val="C80000"/>
                <w:sz w:val="16"/>
              </w:rPr>
              <w:t>✗ (-28.7%)</w:t>
            </w:r>
          </w:p>
        </w:tc>
        <w:tc>
          <w:tcPr>
            <w:tcW w:type="dxa" w:w="1473"/>
            <w:shd w:val="clear" w:fill="FFE6E6"/>
          </w:tcPr>
          <w:p>
            <w:pPr>
              <w:spacing w:before="20" w:after="20"/>
            </w:pPr>
            <w:r>
              <w:rPr>
                <w:b/>
                <w:color w:val="C80000"/>
                <w:sz w:val="16"/>
              </w:rPr>
              <w:t>✓ (92%)</w:t>
            </w:r>
          </w:p>
        </w:tc>
        <w:tc>
          <w:tcPr>
            <w:tcW w:type="dxa" w:w="1473"/>
            <w:shd w:val="clear" w:fill="FFE6E6"/>
          </w:tcPr>
          <w:p>
            <w:pPr>
              <w:spacing w:before="20" w:after="20"/>
            </w:pPr>
            <w:r>
              <w:rPr>
                <w:b/>
                <w:color w:val="C80000"/>
                <w:sz w:val="16"/>
              </w:rPr>
              <w:t>SÍ</w:t>
            </w:r>
          </w:p>
        </w:tc>
      </w:tr>
      <w:tr>
        <w:trPr>
          <w:cantSplit/>
        </w:trPr>
        <w:tc>
          <w:tcPr>
            <w:tcW w:type="dxa" w:w="1473"/>
            <w:shd w:val="clear" w:fill="F2F6FC"/>
          </w:tcPr>
          <w:p>
            <w:pPr>
              <w:spacing w:before="20" w:after="20"/>
            </w:pPr>
            <w:r>
              <w:rPr>
                <w:sz w:val="16"/>
              </w:rPr>
              <w:t>29/05–27/06/26</w:t>
            </w:r>
          </w:p>
        </w:tc>
        <w:tc>
          <w:tcPr>
            <w:tcW w:type="dxa" w:w="1473"/>
            <w:shd w:val="clear" w:fill="F2F6FC"/>
          </w:tcPr>
          <w:p>
            <w:pPr>
              <w:spacing w:before="20" w:after="20"/>
            </w:pPr>
            <w:r>
              <w:rPr>
                <w:sz w:val="16"/>
              </w:rPr>
              <w:t>3.707</w:t>
            </w:r>
          </w:p>
        </w:tc>
        <w:tc>
          <w:tcPr>
            <w:tcW w:type="dxa" w:w="1473"/>
            <w:shd w:val="clear" w:fill="F2F6FC"/>
          </w:tcPr>
          <w:p>
            <w:pPr>
              <w:spacing w:before="20" w:after="20"/>
            </w:pPr>
            <w:r>
              <w:rPr>
                <w:sz w:val="16"/>
              </w:rPr>
              <w:t>2.379</w:t>
            </w:r>
          </w:p>
        </w:tc>
        <w:tc>
          <w:tcPr>
            <w:tcW w:type="dxa" w:w="1473"/>
            <w:shd w:val="clear" w:fill="F2F6FC"/>
          </w:tcPr>
          <w:p>
            <w:pPr>
              <w:spacing w:before="20" w:after="20"/>
            </w:pPr>
            <w:r>
              <w:rPr>
                <w:sz w:val="16"/>
              </w:rPr>
              <w:t>2.931</w:t>
            </w:r>
          </w:p>
        </w:tc>
        <w:tc>
          <w:tcPr>
            <w:tcW w:type="dxa" w:w="1473"/>
            <w:shd w:val="clear" w:fill="F2F6FC"/>
          </w:tcPr>
          <w:p>
            <w:pPr>
              <w:spacing w:before="20" w:after="20"/>
            </w:pPr>
            <w:r>
              <w:rPr>
                <w:sz w:val="16"/>
              </w:rPr>
              <w:t>✗ (-35.8%)</w:t>
            </w:r>
          </w:p>
        </w:tc>
        <w:tc>
          <w:tcPr>
            <w:tcW w:type="dxa" w:w="1473"/>
            <w:shd w:val="clear" w:fill="F2F6FC"/>
          </w:tcPr>
          <w:p>
            <w:pPr>
              <w:spacing w:before="20" w:after="20"/>
            </w:pPr>
            <w:r>
              <w:rPr>
                <w:sz w:val="16"/>
              </w:rPr>
              <w:t>~ (123%)</w:t>
            </w:r>
          </w:p>
        </w:tc>
        <w:tc>
          <w:tcPr>
            <w:tcW w:type="dxa" w:w="1473"/>
            <w:shd w:val="clear" w:fill="F2F6FC"/>
          </w:tcPr>
          <w:p>
            <w:pPr>
              <w:spacing w:before="20" w:after="20"/>
            </w:pPr>
            <w:r>
              <w:rPr>
                <w:sz w:val="16"/>
              </w:rPr>
              <w:t>Revisar</w:t>
            </w:r>
          </w:p>
        </w:tc>
      </w:tr>
      <w:tr>
        <w:trPr>
          <w:cantSplit/>
        </w:trPr>
        <w:tc>
          <w:tcPr>
            <w:tcW w:type="dxa" w:w="1473"/>
          </w:tcPr>
          <w:p>
            <w:pPr>
              <w:spacing w:before="20" w:after="20"/>
            </w:pPr>
            <w:r>
              <w:rPr>
                <w:sz w:val="16"/>
              </w:rPr>
              <w:t>27/06–29/07/26</w:t>
            </w:r>
          </w:p>
        </w:tc>
        <w:tc>
          <w:tcPr>
            <w:tcW w:type="dxa" w:w="1473"/>
          </w:tcPr>
          <w:p>
            <w:pPr>
              <w:spacing w:before="20" w:after="20"/>
            </w:pPr>
            <w:r>
              <w:rPr>
                <w:sz w:val="16"/>
              </w:rPr>
              <w:t>5.067</w:t>
            </w:r>
          </w:p>
        </w:tc>
        <w:tc>
          <w:tcPr>
            <w:tcW w:type="dxa" w:w="1473"/>
          </w:tcPr>
          <w:p>
            <w:pPr>
              <w:spacing w:before="20" w:after="20"/>
            </w:pPr>
            <w:r>
              <w:rPr>
                <w:sz w:val="16"/>
              </w:rPr>
              <w:t>3.239</w:t>
            </w:r>
          </w:p>
        </w:tc>
        <w:tc>
          <w:tcPr>
            <w:tcW w:type="dxa" w:w="1473"/>
          </w:tcPr>
          <w:p>
            <w:pPr>
              <w:spacing w:before="20" w:after="20"/>
            </w:pPr>
            <w:r>
              <w:rPr>
                <w:sz w:val="16"/>
              </w:rPr>
              <w:t>2.339</w:t>
            </w:r>
          </w:p>
        </w:tc>
        <w:tc>
          <w:tcPr>
            <w:tcW w:type="dxa" w:w="1473"/>
          </w:tcPr>
          <w:p>
            <w:pPr>
              <w:spacing w:before="20" w:after="20"/>
            </w:pPr>
            <w:r>
              <w:rPr>
                <w:sz w:val="16"/>
              </w:rPr>
              <w:t>✗ (-36.1%)</w:t>
            </w:r>
          </w:p>
        </w:tc>
        <w:tc>
          <w:tcPr>
            <w:tcW w:type="dxa" w:w="1473"/>
          </w:tcPr>
          <w:p>
            <w:pPr>
              <w:spacing w:before="20" w:after="20"/>
            </w:pPr>
            <w:r>
              <w:rPr>
                <w:sz w:val="16"/>
              </w:rPr>
              <w:t>~ (72%)</w:t>
            </w:r>
          </w:p>
        </w:tc>
        <w:tc>
          <w:tcPr>
            <w:tcW w:type="dxa" w:w="1473"/>
          </w:tcPr>
          <w:p>
            <w:pPr>
              <w:spacing w:before="20" w:after="20"/>
            </w:pPr>
            <w:r>
              <w:rPr>
                <w:sz w:val="16"/>
              </w:rPr>
              <w:t>Revisar</w:t>
            </w:r>
          </w:p>
        </w:tc>
      </w:tr>
      <w:tr>
        <w:trPr>
          <w:cantSplit/>
        </w:trPr>
        <w:tc>
          <w:tcPr>
            <w:tcW w:type="dxa" w:w="1473"/>
            <w:shd w:val="clear" w:fill="FFE6E6"/>
          </w:tcPr>
          <w:p>
            <w:pPr>
              <w:spacing w:before="20" w:after="20"/>
            </w:pPr>
            <w:r>
              <w:rPr>
                <w:b/>
                <w:color w:val="C80000"/>
                <w:sz w:val="16"/>
              </w:rPr>
              <w:t>29/07–28/08/26</w:t>
            </w:r>
          </w:p>
        </w:tc>
        <w:tc>
          <w:tcPr>
            <w:tcW w:type="dxa" w:w="1473"/>
            <w:shd w:val="clear" w:fill="FFE6E6"/>
          </w:tcPr>
          <w:p>
            <w:pPr>
              <w:spacing w:before="20" w:after="20"/>
            </w:pPr>
            <w:r>
              <w:rPr>
                <w:b/>
                <w:color w:val="C80000"/>
                <w:sz w:val="16"/>
              </w:rPr>
              <w:t>2.079</w:t>
            </w:r>
          </w:p>
        </w:tc>
        <w:tc>
          <w:tcPr>
            <w:tcW w:type="dxa" w:w="1473"/>
            <w:shd w:val="clear" w:fill="FFE6E6"/>
          </w:tcPr>
          <w:p>
            <w:pPr>
              <w:spacing w:before="20" w:after="20"/>
            </w:pPr>
            <w:r>
              <w:rPr>
                <w:b/>
                <w:color w:val="C80000"/>
                <w:sz w:val="16"/>
              </w:rPr>
              <w:t>1.754</w:t>
            </w:r>
          </w:p>
        </w:tc>
        <w:tc>
          <w:tcPr>
            <w:tcW w:type="dxa" w:w="1473"/>
            <w:shd w:val="clear" w:fill="FFE6E6"/>
          </w:tcPr>
          <w:p>
            <w:pPr>
              <w:spacing w:before="20" w:after="20"/>
            </w:pPr>
            <w:r>
              <w:rPr>
                <w:b/>
                <w:color w:val="C80000"/>
                <w:sz w:val="16"/>
              </w:rPr>
              <w:t>1.612</w:t>
            </w:r>
          </w:p>
        </w:tc>
        <w:tc>
          <w:tcPr>
            <w:tcW w:type="dxa" w:w="1473"/>
            <w:shd w:val="clear" w:fill="FFE6E6"/>
          </w:tcPr>
          <w:p>
            <w:pPr>
              <w:spacing w:before="20" w:after="20"/>
            </w:pPr>
            <w:r>
              <w:rPr>
                <w:b/>
                <w:color w:val="C80000"/>
                <w:sz w:val="16"/>
              </w:rPr>
              <w:t>✗ (-15.6%)</w:t>
            </w:r>
          </w:p>
        </w:tc>
        <w:tc>
          <w:tcPr>
            <w:tcW w:type="dxa" w:w="1473"/>
            <w:shd w:val="clear" w:fill="FFE6E6"/>
          </w:tcPr>
          <w:p>
            <w:pPr>
              <w:spacing w:before="20" w:after="20"/>
            </w:pPr>
            <w:r>
              <w:rPr>
                <w:b/>
                <w:color w:val="C80000"/>
                <w:sz w:val="16"/>
              </w:rPr>
              <w:t>✓ (92%)</w:t>
            </w:r>
          </w:p>
        </w:tc>
        <w:tc>
          <w:tcPr>
            <w:tcW w:type="dxa" w:w="1473"/>
            <w:shd w:val="clear" w:fill="FFE6E6"/>
          </w:tcPr>
          <w:p>
            <w:pPr>
              <w:spacing w:before="20" w:after="20"/>
            </w:pPr>
            <w:r>
              <w:rPr>
                <w:b/>
                <w:color w:val="C80000"/>
                <w:sz w:val="16"/>
              </w:rPr>
              <w:t>SÍ</w:t>
            </w:r>
          </w:p>
        </w:tc>
      </w:tr>
    </w:tbl>
    <w:p/>
    <w:p>
      <w:r>
        <w:t>Ciclos que más refuerzan la hipótesis:</w:t>
      </w:r>
    </w:p>
    <w:p>
      <w:pPr>
        <w:pStyle w:val="ListBullet"/>
      </w:pPr>
      <w:r>
        <w:t>28/08–27/09/25: boleta 3.375 · Matriz 3.189 · Inferior 2.982 (WES↔WES 94%)</w:t>
      </w:r>
    </w:p>
    <w:p>
      <w:pPr>
        <w:pStyle w:val="ListBullet"/>
      </w:pPr>
      <w:r>
        <w:t>30/01–27/02/26: boleta 6.478 · Matriz 5.716 · Inferior 6.432 (WES↔WES 113%)</w:t>
      </w:r>
    </w:p>
    <w:p>
      <w:pPr>
        <w:pStyle w:val="ListBullet"/>
      </w:pPr>
      <w:r>
        <w:t>29/04–29/05/26: boleta 4.566 · Matriz 3.254 · Inferior 2.986 (WES↔WES 92%)</w:t>
      </w:r>
    </w:p>
    <w:p>
      <w:pPr>
        <w:pStyle w:val="ListBullet"/>
      </w:pPr>
      <w:r>
        <w:t>29/07–28/08/26: boleta 2.079 · Matriz 1.754 · Inferior 1.612 (WES↔WES 92%)</w:t>
      </w:r>
    </w:p>
    <w:p>
      <w:pPr>
        <w:keepNext/>
        <w:widowControl/>
        <w:spacing w:after="60"/>
        <w:jc w:val="center"/>
      </w:pPr>
      <w:r>
        <w:drawing>
          <wp:inline xmlns:a="http://schemas.openxmlformats.org/drawingml/2006/main" xmlns:pic="http://schemas.openxmlformats.org/drawingml/2006/picture">
            <wp:extent cx="5760720" cy="2622191"/>
            <wp:docPr id="1" name="Picture 1"/>
            <wp:cNvGraphicFramePr>
              <a:graphicFrameLocks noChangeAspect="1"/>
            </wp:cNvGraphicFramePr>
            <a:graphic>
              <a:graphicData uri="http://schemas.openxmlformats.org/drawingml/2006/picture">
                <pic:pic>
                  <pic:nvPicPr>
                    <pic:cNvPr id="0" name="doce_validaciones.png"/>
                    <pic:cNvPicPr/>
                  </pic:nvPicPr>
                  <pic:blipFill>
                    <a:blip r:embed="rId10"/>
                    <a:stretch>
                      <a:fillRect/>
                    </a:stretch>
                  </pic:blipFill>
                  <pic:spPr>
                    <a:xfrm>
                      <a:off x="0" y="0"/>
                      <a:ext cx="5760720" cy="2622191"/>
                    </a:xfrm>
                    <a:prstGeom prst="rect"/>
                  </pic:spPr>
                </pic:pic>
              </a:graphicData>
            </a:graphic>
          </wp:inline>
        </w:drawing>
      </w:r>
    </w:p>
    <w:p>
      <w:r>
        <w:rPr>
          <w:sz w:val="16"/>
        </w:rPr>
        <w:t>Gráfico. Últimas 12 validaciones (boleta / Matriz WES / Inferior WES).</w:t>
      </w:r>
    </w:p>
    <w:p>
      <w:r>
        <w:rPr>
          <w:sz w:val="18"/>
        </w:rPr>
        <w:t>Nota: los ciclos feb–abr/2026 (desconexión/cambio de equipo en Matriz) se marcan N/A para la hipótesis; ahí Matriz WES estuvo caído y no sirve de contraste limpio.</w:t>
      </w:r>
    </w:p>
    <w:p>
      <w:pPr>
        <w:pStyle w:val="Heading1"/>
        <w:keepNext/>
        <w:widowControl/>
        <w:spacing w:after="60"/>
      </w:pPr>
      <w:r>
        <w:rPr>
          <w:b/>
          <w:color w:val="003366"/>
        </w:rPr>
        <w:t>4. CONTROL DE LECTURA DEL MEDIDOR FISCAL</w:t>
      </w:r>
    </w:p>
    <w:tbl>
      <w:tblPr>
        <w:tblStyle w:val="TableGrid"/>
        <w:tblW w:type="auto" w:w="0"/>
        <w:tblLook w:firstColumn="1" w:firstRow="1" w:lastColumn="0" w:lastRow="0" w:noHBand="0" w:noVBand="1" w:val="04A0"/>
      </w:tblPr>
      <w:tblGrid>
        <w:gridCol w:w="5156"/>
        <w:gridCol w:w="5156"/>
      </w:tblGrid>
      <w:tr>
        <w:trPr>
          <w:cantSplit/>
        </w:trPr>
        <w:tc>
          <w:tcPr>
            <w:tcW w:type="dxa" w:w="5156"/>
            <w:shd w:val="clear" w:fill="003366"/>
          </w:tcPr>
          <w:p>
            <w:pPr>
              <w:spacing w:before="20" w:after="20"/>
            </w:pPr>
            <w:r>
              <w:rPr>
                <w:b/>
                <w:color w:val="FFFFFF"/>
                <w:sz w:val="18"/>
              </w:rPr>
              <w:t>Concepto</w:t>
            </w:r>
          </w:p>
        </w:tc>
        <w:tc>
          <w:tcPr>
            <w:tcW w:type="dxa" w:w="5156"/>
            <w:shd w:val="clear" w:fill="003366"/>
          </w:tcPr>
          <w:p>
            <w:pPr>
              <w:spacing w:before="20" w:after="20"/>
            </w:pPr>
            <w:r>
              <w:rPr>
                <w:b/>
                <w:color w:val="FFFFFF"/>
                <w:sz w:val="18"/>
              </w:rPr>
              <w:t>Valor</w:t>
            </w:r>
          </w:p>
        </w:tc>
      </w:tr>
      <w:tr>
        <w:trPr>
          <w:cantSplit/>
        </w:trPr>
        <w:tc>
          <w:tcPr>
            <w:tcW w:type="dxa" w:w="5156"/>
          </w:tcPr>
          <w:p>
            <w:pPr>
              <w:spacing w:before="20" w:after="20"/>
            </w:pPr>
            <w:r>
              <w:rPr>
                <w:sz w:val="16"/>
              </w:rPr>
              <w:t>Última lectura boleta (28/08/2026)</w:t>
            </w:r>
          </w:p>
        </w:tc>
        <w:tc>
          <w:tcPr>
            <w:tcW w:type="dxa" w:w="5156"/>
          </w:tcPr>
          <w:p>
            <w:pPr>
              <w:spacing w:before="20" w:after="20"/>
            </w:pPr>
            <w:r>
              <w:rPr>
                <w:sz w:val="16"/>
              </w:rPr>
              <w:t>380.962</w:t>
            </w:r>
          </w:p>
        </w:tc>
      </w:tr>
      <w:tr>
        <w:trPr>
          <w:cantSplit/>
        </w:trPr>
        <w:tc>
          <w:tcPr>
            <w:tcW w:type="dxa" w:w="5156"/>
            <w:shd w:val="clear" w:fill="F2F6FC"/>
          </w:tcPr>
          <w:p>
            <w:pPr>
              <w:spacing w:before="20" w:after="20"/>
            </w:pPr>
            <w:r>
              <w:rPr>
                <w:sz w:val="16"/>
              </w:rPr>
              <w:t>Lectura reportada (16/09/2026)</w:t>
            </w:r>
          </w:p>
        </w:tc>
        <w:tc>
          <w:tcPr>
            <w:tcW w:type="dxa" w:w="5156"/>
            <w:shd w:val="clear" w:fill="F2F6FC"/>
          </w:tcPr>
          <w:p>
            <w:pPr>
              <w:spacing w:before="20" w:after="20"/>
            </w:pPr>
            <w:r>
              <w:rPr>
                <w:sz w:val="16"/>
              </w:rPr>
              <w:t>382.967</w:t>
            </w:r>
          </w:p>
        </w:tc>
      </w:tr>
      <w:tr>
        <w:trPr>
          <w:cantSplit/>
        </w:trPr>
        <w:tc>
          <w:tcPr>
            <w:tcW w:type="dxa" w:w="5156"/>
          </w:tcPr>
          <w:p>
            <w:pPr>
              <w:spacing w:before="20" w:after="20"/>
            </w:pPr>
            <w:r>
              <w:rPr>
                <w:sz w:val="16"/>
              </w:rPr>
              <w:t>Delta en 19 días</w:t>
            </w:r>
          </w:p>
        </w:tc>
        <w:tc>
          <w:tcPr>
            <w:tcW w:type="dxa" w:w="5156"/>
          </w:tcPr>
          <w:p>
            <w:pPr>
              <w:spacing w:before="20" w:after="20"/>
            </w:pPr>
            <w:r>
              <w:rPr>
                <w:sz w:val="16"/>
              </w:rPr>
              <w:t>2.005 m³ (~106 m³/día) — dentro de rango / secuencia</w:t>
            </w:r>
          </w:p>
        </w:tc>
      </w:tr>
    </w:tbl>
    <w:p>
      <w:pPr>
        <w:pStyle w:val="Heading1"/>
        <w:keepNext/>
        <w:widowControl/>
        <w:spacing w:after="60"/>
      </w:pPr>
      <w:r>
        <w:rPr>
          <w:b/>
          <w:color w:val="003366"/>
        </w:rPr>
        <w:t>5. PRÓXIMO PASO: VISITA A TERRENO</w:t>
      </w:r>
    </w:p>
    <w:p>
      <w:r>
        <w:rPr>
          <w:b/>
        </w:rPr>
        <w:t>Con la hipótesis planteada y las 12 validaciones como respaldo, corresponde comprobar en terreno si el medidor ESVAL está fallando / sobre-registrando.</w:t>
      </w:r>
    </w:p>
    <w:tbl>
      <w:tblPr>
        <w:tblStyle w:val="TableGrid"/>
        <w:tblW w:type="auto" w:w="0"/>
        <w:tblLook w:firstColumn="1" w:firstRow="1" w:lastColumn="0" w:lastRow="0" w:noHBand="0" w:noVBand="1" w:val="04A0"/>
      </w:tblPr>
      <w:tblGrid>
        <w:gridCol w:w="3437"/>
        <w:gridCol w:w="3437"/>
        <w:gridCol w:w="3437"/>
      </w:tblGrid>
      <w:tr>
        <w:trPr>
          <w:cantSplit/>
        </w:trPr>
        <w:tc>
          <w:tcPr>
            <w:tcW w:type="dxa" w:w="3437"/>
            <w:shd w:val="clear" w:fill="003366"/>
          </w:tcPr>
          <w:p>
            <w:pPr>
              <w:spacing w:before="20" w:after="20"/>
            </w:pPr>
            <w:r>
              <w:rPr>
                <w:b/>
                <w:color w:val="FFFFFF"/>
                <w:sz w:val="18"/>
              </w:rPr>
              <w:t>Paso</w:t>
            </w:r>
          </w:p>
        </w:tc>
        <w:tc>
          <w:tcPr>
            <w:tcW w:type="dxa" w:w="3437"/>
            <w:shd w:val="clear" w:fill="003366"/>
          </w:tcPr>
          <w:p>
            <w:pPr>
              <w:spacing w:before="20" w:after="20"/>
            </w:pPr>
            <w:r>
              <w:rPr>
                <w:b/>
                <w:color w:val="FFFFFF"/>
                <w:sz w:val="18"/>
              </w:rPr>
              <w:t>Qué hacer</w:t>
            </w:r>
          </w:p>
        </w:tc>
        <w:tc>
          <w:tcPr>
            <w:tcW w:type="dxa" w:w="3437"/>
            <w:shd w:val="clear" w:fill="003366"/>
          </w:tcPr>
          <w:p>
            <w:pPr>
              <w:spacing w:before="20" w:after="20"/>
            </w:pPr>
            <w:r>
              <w:rPr>
                <w:b/>
                <w:color w:val="FFFFFF"/>
                <w:sz w:val="18"/>
              </w:rPr>
              <w:t>Evidencia</w:t>
            </w:r>
          </w:p>
        </w:tc>
      </w:tr>
      <w:tr>
        <w:trPr>
          <w:cantSplit/>
        </w:trPr>
        <w:tc>
          <w:tcPr>
            <w:tcW w:type="dxa" w:w="3437"/>
          </w:tcPr>
          <w:p>
            <w:pPr>
              <w:spacing w:before="20" w:after="20"/>
            </w:pPr>
            <w:r>
              <w:rPr>
                <w:sz w:val="16"/>
              </w:rPr>
              <w:t>1. Matriz ESVAL</w:t>
            </w:r>
          </w:p>
        </w:tc>
        <w:tc>
          <w:tcPr>
            <w:tcW w:type="dxa" w:w="3437"/>
          </w:tcPr>
          <w:p>
            <w:pPr>
              <w:spacing w:before="20" w:after="20"/>
            </w:pPr>
            <w:r>
              <w:rPr>
                <w:sz w:val="16"/>
              </w:rPr>
              <w:t>Foto medidor fiscal 131586; lectura+hora; foto ultrasónico WES; verificar misma tubería.</w:t>
            </w:r>
          </w:p>
        </w:tc>
        <w:tc>
          <w:tcPr>
            <w:tcW w:type="dxa" w:w="3437"/>
          </w:tcPr>
          <w:p>
            <w:pPr>
              <w:spacing w:before="20" w:after="20"/>
            </w:pPr>
            <w:r>
              <w:rPr>
                <w:sz w:val="16"/>
              </w:rPr>
              <w:t>Fotos + planilla + croquis</w:t>
            </w:r>
          </w:p>
        </w:tc>
      </w:tr>
      <w:tr>
        <w:trPr>
          <w:cantSplit/>
        </w:trPr>
        <w:tc>
          <w:tcPr>
            <w:tcW w:type="dxa" w:w="3437"/>
            <w:shd w:val="clear" w:fill="F2F6FC"/>
          </w:tcPr>
          <w:p>
            <w:pPr>
              <w:spacing w:before="20" w:after="20"/>
            </w:pPr>
            <w:r>
              <w:rPr>
                <w:sz w:val="16"/>
              </w:rPr>
              <w:t>2. Estanque Inferior</w:t>
            </w:r>
          </w:p>
        </w:tc>
        <w:tc>
          <w:tcPr>
            <w:tcW w:type="dxa" w:w="3437"/>
            <w:shd w:val="clear" w:fill="F2F6FC"/>
          </w:tcPr>
          <w:p>
            <w:pPr>
              <w:spacing w:before="20" w:after="20"/>
            </w:pPr>
            <w:r>
              <w:rPr>
                <w:sz w:val="16"/>
              </w:rPr>
              <w:t>Foto WES; lectura+hora; confirmar llenado solo desde matriz; revisar bomba/arranque mínimo.</w:t>
            </w:r>
          </w:p>
        </w:tc>
        <w:tc>
          <w:tcPr>
            <w:tcW w:type="dxa" w:w="3437"/>
            <w:shd w:val="clear" w:fill="F2F6FC"/>
          </w:tcPr>
          <w:p>
            <w:pPr>
              <w:spacing w:before="20" w:after="20"/>
            </w:pPr>
            <w:r>
              <w:rPr>
                <w:sz w:val="16"/>
              </w:rPr>
              <w:t>Fotos + esquema</w:t>
            </w:r>
          </w:p>
        </w:tc>
      </w:tr>
      <w:tr>
        <w:trPr>
          <w:cantSplit/>
        </w:trPr>
        <w:tc>
          <w:tcPr>
            <w:tcW w:type="dxa" w:w="3437"/>
          </w:tcPr>
          <w:p>
            <w:pPr>
              <w:spacing w:before="20" w:after="20"/>
            </w:pPr>
            <w:r>
              <w:rPr>
                <w:sz w:val="16"/>
              </w:rPr>
              <w:t>3. Cruce mismo día</w:t>
            </w:r>
          </w:p>
        </w:tc>
        <w:tc>
          <w:tcPr>
            <w:tcW w:type="dxa" w:w="3437"/>
          </w:tcPr>
          <w:p>
            <w:pPr>
              <w:spacing w:before="20" w:after="20"/>
            </w:pPr>
            <w:r>
              <w:rPr>
                <w:sz w:val="16"/>
              </w:rPr>
              <w:t>Lecturas fiscal + Matriz + Inferior en la misma ventana (AM/PM).</w:t>
            </w:r>
          </w:p>
        </w:tc>
        <w:tc>
          <w:tcPr>
            <w:tcW w:type="dxa" w:w="3437"/>
          </w:tcPr>
          <w:p>
            <w:pPr>
              <w:spacing w:before="20" w:after="20"/>
            </w:pPr>
            <w:r>
              <w:rPr>
                <w:sz w:val="16"/>
              </w:rPr>
              <w:t>Tabla 3 lecturas en paralelo</w:t>
            </w:r>
          </w:p>
        </w:tc>
      </w:tr>
      <w:tr>
        <w:trPr>
          <w:cantSplit/>
        </w:trPr>
        <w:tc>
          <w:tcPr>
            <w:tcW w:type="dxa" w:w="3437"/>
            <w:shd w:val="clear" w:fill="F2F6FC"/>
          </w:tcPr>
          <w:p>
            <w:pPr>
              <w:spacing w:before="20" w:after="20"/>
            </w:pPr>
            <w:r>
              <w:rPr>
                <w:sz w:val="16"/>
              </w:rPr>
              <w:t>4. Seguimiento 7 días</w:t>
            </w:r>
          </w:p>
        </w:tc>
        <w:tc>
          <w:tcPr>
            <w:tcW w:type="dxa" w:w="3437"/>
            <w:shd w:val="clear" w:fill="F2F6FC"/>
          </w:tcPr>
          <w:p>
            <w:pPr>
              <w:spacing w:before="20" w:after="20"/>
            </w:pPr>
            <w:r>
              <w:rPr>
                <w:sz w:val="16"/>
              </w:rPr>
              <w:t>Lectura diaria fiscal + export WES Matriz/Inferior.</w:t>
            </w:r>
          </w:p>
        </w:tc>
        <w:tc>
          <w:tcPr>
            <w:tcW w:type="dxa" w:w="3437"/>
            <w:shd w:val="clear" w:fill="F2F6FC"/>
          </w:tcPr>
          <w:p>
            <w:pPr>
              <w:spacing w:before="20" w:after="20"/>
            </w:pPr>
            <w:r>
              <w:rPr>
                <w:sz w:val="16"/>
              </w:rPr>
              <w:t>Excel + gráfico</w:t>
            </w:r>
          </w:p>
        </w:tc>
      </w:tr>
    </w:tbl>
    <w:p/>
    <w:p>
      <w:pPr>
        <w:pStyle w:val="Heading1"/>
        <w:keepNext/>
        <w:widowControl/>
        <w:spacing w:after="60"/>
      </w:pPr>
      <w:r>
        <w:rPr>
          <w:b/>
          <w:color w:val="003366"/>
        </w:rPr>
        <w:t>6. CONCLUSIÓN</w:t>
      </w:r>
    </w:p>
    <w:p>
      <w:pPr>
        <w:pStyle w:val="ListNumber"/>
      </w:pPr>
      <w:r>
        <w:t>Hipótesis: el medidor fiscal ESVAL puede estar fallando / marcando de más.</w:t>
      </w:r>
    </w:p>
    <w:p>
      <w:pPr>
        <w:pStyle w:val="ListNumber"/>
      </w:pPr>
      <w:r>
        <w:t>Evidencia: en las últimas 12 validaciones hay ciclos donde la boleta no cuadra con Matriz WES, pero Matriz e Inferior sí conversan.</w:t>
      </w:r>
    </w:p>
    <w:p>
      <w:pPr>
        <w:pStyle w:val="ListNumber"/>
      </w:pPr>
      <w:r>
        <w:t>Acción: visita a terreno para comprobarlo (fotos, lecturas en paralelo, seguimiento 7 días) y luego PPT para reunión.</w:t>
      </w:r>
    </w:p>
    <w:sectPr w:rsidR="00FC693F" w:rsidRPr="0006063C" w:rsidSect="00034616">
      <w:headerReference w:type="default" r:id="rId9"/>
      <w:pgSz w:w="12240" w:h="15840"/>
      <w:pgMar w:top="794" w:right="964"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