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INFORME TÉCNICO</w:t>
      </w:r>
    </w:p>
    <w:p>
      <w:pPr>
        <w:jc w:val="center"/>
      </w:pPr>
      <w:r>
        <w:rPr>
          <w:color w:val="003366"/>
          <w:sz w:val="24"/>
        </w:rPr>
        <w:t>Fundo Zapallar — Respuesta a observaciones de consumo</w:t>
        <w:br/>
        <w:t>Etapa N°5 y Matriz ESVAL (cliente ESVAL 631203-9)</w:t>
      </w:r>
    </w:p>
    <w:p>
      <w:pPr>
        <w:jc w:val="center"/>
      </w:pPr>
      <w:r>
        <w:rPr>
          <w:sz w:val="18"/>
        </w:rPr>
        <w:t>Fecha informe: 16/09/2026</w:t>
        <w:br/>
        <w:t>Destinatario: LG Administración / Condominio Fundo Zapallar</w:t>
        <w:br/>
        <w:t>Elaborado por: Sociedad Tecnológica WES SpA — Operaciones</w:t>
      </w:r>
    </w:p>
    <w:p/>
    <w:p>
      <w:pPr>
        <w:pStyle w:val="Heading1"/>
        <w:keepNext/>
        <w:widowControl/>
        <w:spacing w:after="60"/>
      </w:pPr>
      <w:r>
        <w:rPr>
          <w:b/>
          <w:color w:val="003366"/>
        </w:rPr>
        <w:t>1. RESUMEN EJECUTIVO</w:t>
      </w:r>
    </w:p>
    <w:p>
      <w:pPr>
        <w:pStyle w:val="ListBullet"/>
      </w:pPr>
      <w:r>
        <w:t>Se revisaron las observaciones sobre inconsistencias en Etapa N°5 y Matriz ESVAL, contrastándolas con la serie horaria WES, actas de mantención y las últimas 12 boletas ESVAL (medidor 131586).</w:t>
      </w:r>
    </w:p>
    <w:p>
      <w:pPr>
        <w:pStyle w:val="ListBullet"/>
      </w:pPr>
      <w:r>
        <w:t>Los bloques fijos ~96 y ~200 m³/h en Etapa N°5 son reales. Corresponden a un problema del sensor de pulso inductivo sobre el medidor Sensus; se revisará en terreno y se evaluará reemplazo por caudalímetro ultrasónico WES.</w:t>
      </w:r>
    </w:p>
    <w:p>
      <w:pPr>
        <w:pStyle w:val="ListBullet"/>
      </w:pPr>
      <w:r>
        <w:t>Los ceros de Matriz ESVAL (2–10/03/2026) se explican por desconexión del sensor inductivo (25/02/2026) y reactivación con ultrasónico WES el 11/03/2026.</w:t>
      </w:r>
    </w:p>
    <w:p>
      <w:pPr>
        <w:pStyle w:val="ListBullet"/>
      </w:pPr>
      <w:r>
        <w:t>En las boletas coexisten dos cifras distintas: (a) delta de lecturas del medidor y (b) m³ del ítem «Consumo Agua» facturado. La comparación correcta con WES usa el delta del medidor + criterio horario 12:00. Con ese criterio, varios ciclos previos al cambio de equipo calzan con diferencias del orden de 0–3%.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2. CRITERIO DE COMPARACIÓN BOLETA ↔ WES</w:t>
      </w:r>
    </w:p>
    <w:p>
      <w:r>
        <w:t>La lectura presencial de ESVAL no publica hora exacta; WES registra las 24 h. Para comparar ciclos se asume lectura cerca de las 12:00 (Chile): se suma el consumo WES desde las 12:00 del día de lectura inicial hasta las 12:00 del día de lectura final. Además se distingue:</w:t>
      </w:r>
    </w:p>
    <w:p>
      <w:pPr>
        <w:pStyle w:val="ListBullet"/>
      </w:pPr>
      <w:r>
        <w:t>Delta medidor ESVAL: lectura final − lectura inicial (consumo físico del arranque).</w:t>
      </w:r>
    </w:p>
    <w:p>
      <w:pPr>
        <w:pStyle w:val="ListBullet"/>
      </w:pPr>
      <w:r>
        <w:t>m³ facturados: cantidad del ítem «Consumo Agua» de la boleta (puede diferir por punta, límite, remarcación u otros cargos tarifarios).</w:t>
      </w:r>
    </w:p>
    <w:p>
      <w:r>
        <w:t>Ejemplo del ciclo 30/12/2025–30/01/2026 (boleta 92825564): delta medidor = 7.193 m³ (339.045 → 346.238); ítem facturado = 501 m³; WES criterio 12h ≈ 7.200 m³.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3. VALIDACIÓN DE LAS ÚLTIMAS 12 FACTURACIONES VS MATRIZ ESVAL (WES)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rPr>
          <w:cantSplit/>
        </w:trPr>
        <w:tc>
          <w:tcPr>
            <w:tcW w:type="dxa" w:w="113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Ciclo lectura</w:t>
            </w:r>
          </w:p>
        </w:tc>
        <w:tc>
          <w:tcPr>
            <w:tcW w:type="dxa" w:w="113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Boleta</w:t>
            </w:r>
          </w:p>
        </w:tc>
        <w:tc>
          <w:tcPr>
            <w:tcW w:type="dxa" w:w="113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Lec. ini→fin</w:t>
            </w:r>
          </w:p>
        </w:tc>
        <w:tc>
          <w:tcPr>
            <w:tcW w:type="dxa" w:w="113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Delta medidor (m³)</w:t>
            </w:r>
          </w:p>
        </w:tc>
        <w:tc>
          <w:tcPr>
            <w:tcW w:type="dxa" w:w="113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Facturado (m³)</w:t>
            </w:r>
          </w:p>
        </w:tc>
        <w:tc>
          <w:tcPr>
            <w:tcW w:type="dxa" w:w="113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WES 12h (m³)</w:t>
            </w:r>
          </w:p>
        </w:tc>
        <w:tc>
          <w:tcPr>
            <w:tcW w:type="dxa" w:w="113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Dif. (m³)</w:t>
            </w:r>
          </w:p>
        </w:tc>
        <w:tc>
          <w:tcPr>
            <w:tcW w:type="dxa" w:w="113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Dif. %</w:t>
            </w:r>
          </w:p>
        </w:tc>
        <w:tc>
          <w:tcPr>
            <w:tcW w:type="dxa" w:w="113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Fase equipo</w:t>
            </w:r>
          </w:p>
        </w:tc>
      </w:tr>
      <w:tr>
        <w:trPr>
          <w:cantSplit/>
        </w:trPr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28/08–27/09/25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90097803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319667→323042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3.375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401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3.188,9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-186,1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-5.5%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Inductivo ESVAL</w:t>
            </w:r>
          </w:p>
        </w:tc>
      </w:tr>
      <w:tr>
        <w:trPr>
          <w:cantSplit/>
        </w:trPr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27/09–29/10/25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90777916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323042→327015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3.973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383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4.086,3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113,3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+2.9%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Inductivo ESVAL</w:t>
            </w:r>
          </w:p>
        </w:tc>
      </w:tr>
      <w:tr>
        <w:trPr>
          <w:cantSplit/>
        </w:trPr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29/10–28/11/25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91459036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327015→332726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5.711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417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5.678,5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-32,5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-0.6%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Inductivo ESVAL</w:t>
            </w:r>
          </w:p>
        </w:tc>
      </w:tr>
      <w:tr>
        <w:trPr>
          <w:cantSplit/>
        </w:trPr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28/11–30/12/25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92141513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332726→339045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6.319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676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6.269,4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-49,6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-0.8%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Inductivo ESVAL</w:t>
            </w:r>
          </w:p>
        </w:tc>
      </w:tr>
      <w:tr>
        <w:trPr>
          <w:cantSplit/>
        </w:trPr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30/12–30/01/26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92825564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339045→346238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7.193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501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7.200,3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7,3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+0.1%</w:t>
            </w:r>
          </w:p>
        </w:tc>
        <w:tc>
          <w:tcPr>
            <w:tcW w:type="dxa" w:w="1133"/>
          </w:tcPr>
          <w:p>
            <w:pPr>
              <w:spacing w:before="20" w:after="20"/>
            </w:pPr>
            <w:r>
              <w:rPr>
                <w:sz w:val="16"/>
              </w:rPr>
              <w:t>Inductivo ESVAL</w:t>
            </w:r>
          </w:p>
        </w:tc>
      </w:tr>
      <w:tr>
        <w:trPr>
          <w:cantSplit/>
        </w:trPr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30/01–27/02/26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93509803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346238→352716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6.478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311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5.716,3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-761,7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-11.8%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Transición (desconex./cambio)</w:t>
            </w:r>
          </w:p>
        </w:tc>
      </w:tr>
      <w:tr>
        <w:trPr>
          <w:cantSplit/>
        </w:trPr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27/02–30/03/26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94194644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352716→359509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6.793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1.028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1.867,1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-4.925,9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-72.5%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Transición (desconex./cambio)</w:t>
            </w:r>
          </w:p>
        </w:tc>
      </w:tr>
      <w:tr>
        <w:trPr>
          <w:cantSplit/>
        </w:trPr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30/03–29/04/26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94879773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359509→365543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6.034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808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2.997,4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-3.036,6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-50.3%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Ultrasónico WES</w:t>
            </w:r>
          </w:p>
        </w:tc>
      </w:tr>
      <w:tr>
        <w:trPr>
          <w:cantSplit/>
        </w:trPr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29/04–29/05/26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95565463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365543→370109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4.566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635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3.254,5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-1.311,5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-28.7%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Ultrasónico WES</w:t>
            </w:r>
          </w:p>
        </w:tc>
      </w:tr>
      <w:tr>
        <w:trPr>
          <w:cantSplit/>
        </w:trPr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29/05–27/06/26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96251613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370109→373816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3.707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639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2.378,8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-1.328,2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-35.8%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Ultrasónico WES</w:t>
            </w:r>
          </w:p>
        </w:tc>
      </w:tr>
      <w:tr>
        <w:trPr>
          <w:cantSplit/>
        </w:trPr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27/06–29/07/26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96937917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373816→378883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5.067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2.328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3.239,2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-1.827,8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-36.1%</w:t>
            </w:r>
          </w:p>
        </w:tc>
        <w:tc>
          <w:tcPr>
            <w:tcW w:type="dxa" w:w="113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  <w:t>Ultrasónico WES</w:t>
            </w:r>
          </w:p>
        </w:tc>
      </w:tr>
      <w:tr>
        <w:trPr>
          <w:cantSplit/>
        </w:trPr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29/07–28/08/26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97624985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378883→380962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2.079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331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1.753,7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-325,3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-15.6%</w:t>
            </w:r>
          </w:p>
        </w:tc>
        <w:tc>
          <w:tcPr>
            <w:tcW w:type="dxa" w:w="113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Ultrasónico WES</w:t>
            </w:r>
          </w:p>
        </w:tc>
      </w:tr>
      <w:tr>
        <w:trPr>
          <w:cantSplit/>
        </w:trPr>
        <w:tc>
          <w:tcPr>
            <w:tcW w:type="dxa" w:w="1133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12 ciclos</w:t>
            </w:r>
          </w:p>
        </w:tc>
        <w:tc>
          <w:tcPr>
            <w:tcW w:type="dxa" w:w="1133"/>
          </w:tcPr>
          <w:p>
            <w:pPr>
              <w:spacing w:before="20" w:after="20"/>
            </w:pPr>
          </w:p>
        </w:tc>
        <w:tc>
          <w:tcPr>
            <w:tcW w:type="dxa" w:w="1133"/>
          </w:tcPr>
          <w:p>
            <w:pPr>
              <w:spacing w:before="20" w:after="20"/>
            </w:pPr>
          </w:p>
        </w:tc>
        <w:tc>
          <w:tcPr>
            <w:tcW w:type="dxa" w:w="1133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61.295</w:t>
            </w:r>
          </w:p>
        </w:tc>
        <w:tc>
          <w:tcPr>
            <w:tcW w:type="dxa" w:w="1133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8.458</w:t>
            </w:r>
          </w:p>
        </w:tc>
        <w:tc>
          <w:tcPr>
            <w:tcW w:type="dxa" w:w="1133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47.630,3</w:t>
            </w:r>
          </w:p>
        </w:tc>
        <w:tc>
          <w:tcPr>
            <w:tcW w:type="dxa" w:w="1133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-13.664,7</w:t>
            </w:r>
          </w:p>
        </w:tc>
        <w:tc>
          <w:tcPr>
            <w:tcW w:type="dxa" w:w="1133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-22.3%</w:t>
            </w:r>
          </w:p>
        </w:tc>
        <w:tc>
          <w:tcPr>
            <w:tcW w:type="dxa" w:w="1133"/>
          </w:tcPr>
          <w:p>
            <w:pPr>
              <w:spacing w:before="20" w:after="20"/>
            </w:pPr>
          </w:p>
        </w:tc>
      </w:tr>
    </w:tbl>
    <w:p/>
    <w:p>
      <w:r>
        <w:t>Filas en rojo: desvío absoluto WES vs delta medidor &gt; 20%. Se observa buen ajuste en ciclos con sensor inductivo ESVAL (sep/2025–ene/2026). El ciclo de transición feb–mar/2026 concentra la pérdida de dato por desconexión. En régimen ultrasónico, WES tiende a registrar menos m³ que el delta del medidor fiscal; eso se abordará en la verificación de punto de instalación / calibración.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23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_boleta_w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Gráfico 1. Comparativo por ciclo: delta medidor, WES (12h) y m³ facturados.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821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vio_p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2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Gráfico 2. Desvío porcentual WES respecto del delta medidor ESVAL.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3.1 ACLARACIÓN SOBRE LOS TRES CICLOS CITADOS EN EL CORREO</w:t>
      </w:r>
    </w:p>
    <w:p>
      <w:r>
        <w:t>Los valores «ESVAL facturó X m³» del correo corresponden al ítem tarifario «Consumo Agua», no al delta de lecturas del medidor: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</w:trPr>
        <w:tc>
          <w:tcPr>
            <w:tcW w:type="dxa" w:w="20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Ciclo</w:t>
            </w:r>
          </w:p>
        </w:tc>
        <w:tc>
          <w:tcPr>
            <w:tcW w:type="dxa" w:w="20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Citado (ítem factura)</w:t>
            </w:r>
          </w:p>
        </w:tc>
        <w:tc>
          <w:tcPr>
            <w:tcW w:type="dxa" w:w="20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Delta medidor</w:t>
            </w:r>
          </w:p>
        </w:tc>
        <w:tc>
          <w:tcPr>
            <w:tcW w:type="dxa" w:w="20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WES 12h</w:t>
            </w:r>
          </w:p>
        </w:tc>
        <w:tc>
          <w:tcPr>
            <w:tcW w:type="dxa" w:w="20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Conclusión</w:t>
            </w:r>
          </w:p>
        </w:tc>
      </w:tr>
      <w:tr>
        <w:trPr>
          <w:cantSplit/>
        </w:trPr>
        <w:tc>
          <w:tcPr>
            <w:tcW w:type="dxa" w:w="2040"/>
          </w:tcPr>
          <w:p>
            <w:pPr>
              <w:spacing w:before="20" w:after="20"/>
            </w:pPr>
            <w:r>
              <w:rPr>
                <w:sz w:val="16"/>
              </w:rPr>
              <w:t>30/12/25–30/01/26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sz w:val="16"/>
              </w:rPr>
              <w:t>501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sz w:val="16"/>
              </w:rPr>
              <w:t>7.193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sz w:val="16"/>
              </w:rPr>
              <w:t>7.200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sz w:val="16"/>
              </w:rPr>
              <w:t>WES ≈ medidor</w:t>
            </w:r>
          </w:p>
        </w:tc>
      </w:tr>
      <w:tr>
        <w:trPr>
          <w:cantSplit/>
        </w:trPr>
        <w:tc>
          <w:tcPr>
            <w:tcW w:type="dxa" w:w="20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29/05–27/06/26</w:t>
            </w:r>
          </w:p>
        </w:tc>
        <w:tc>
          <w:tcPr>
            <w:tcW w:type="dxa" w:w="20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639</w:t>
            </w:r>
          </w:p>
        </w:tc>
        <w:tc>
          <w:tcPr>
            <w:tcW w:type="dxa" w:w="20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3.707</w:t>
            </w:r>
          </w:p>
        </w:tc>
        <w:tc>
          <w:tcPr>
            <w:tcW w:type="dxa" w:w="20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2.378,8</w:t>
            </w:r>
          </w:p>
        </w:tc>
        <w:tc>
          <w:tcPr>
            <w:tcW w:type="dxa" w:w="20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Comparar vs medidor, no vs ítem</w:t>
            </w:r>
          </w:p>
        </w:tc>
      </w:tr>
      <w:tr>
        <w:trPr>
          <w:cantSplit/>
        </w:trPr>
        <w:tc>
          <w:tcPr>
            <w:tcW w:type="dxa" w:w="2040"/>
          </w:tcPr>
          <w:p>
            <w:pPr>
              <w:spacing w:before="20" w:after="20"/>
            </w:pPr>
            <w:r>
              <w:rPr>
                <w:sz w:val="16"/>
              </w:rPr>
              <w:t>27/06–29/07/26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sz w:val="16"/>
              </w:rPr>
              <w:t>2.328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sz w:val="16"/>
              </w:rPr>
              <w:t>5.067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sz w:val="16"/>
              </w:rPr>
              <w:t>3.239,2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sz w:val="16"/>
              </w:rPr>
              <w:t>Comparar vs medidor, no vs ítem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4. ETAPA N°5 — HALLAZGOS Y ACCIONES</w:t>
      </w:r>
    </w:p>
    <w:p>
      <w:r>
        <w:t>Los valores señalados (concentración en bloques ~96 m³/h y ~200 m³/h) son correctos. Un caudal real no se comporta así. La hipótesis de trabajo es falla del sensor inductivo de pulso instalado sobre el medidor Sensus de la cámara MAP.</w:t>
      </w:r>
    </w:p>
    <w:p>
      <w:pPr>
        <w:pStyle w:val="ListBullet"/>
      </w:pPr>
      <w:r>
        <w:t>Acciones: revisión en terreno del sensor de pulso; evaluación de instalar caudalímetro ultrasónico WES.</w:t>
      </w:r>
    </w:p>
    <w:p>
      <w:r>
        <w:t>Contexto operativo (octubre–noviembre 2025): se detectó con el supervisor del fundo que el monitoreo inicial de Etapa N°5 también capturaba una línea antigua. Se reubicó el monitoreo en la cámara MAP dedicada a la línea de Etapa N°5 (medidor Sensus + sensor inductivo). La puesta en lectura se ejecutó el jueves 13/11/2025 (respaldado por coordinación escrita del 10/11/2025).</w:t>
      </w:r>
    </w:p>
    <w:p>
      <w:r>
        <w:t>Desde el 13/11/2025 y hasta antes del bloque ~96 (fines de enero 2026), las lecturas diarias se mantuvieron en rangos acotados (orden de unidades a decenas de m³/día). El patrón anómalo se concentra después, con episodios adicionales de ~200 m³/h asociados a cortes de comunicación (p. ej. cortocircuito documentado el 29/07/2026).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115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a5_di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Gráfico 3. Serie diaria Etapa N°5 desde la reubicación MAP (anomalías en rojo).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696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a5_detal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9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Gráfico 4. Detalle Etapa N°5 en escala operativa (≤100 m³/día).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5. MATRIZ ESVAL — CEROS DEL 2 AL 10 DE MARZO DE 2026</w:t>
      </w:r>
    </w:p>
    <w:p>
      <w:r>
        <w:t>En una primera etapa el monitoreo de Matriz ESVAL se tomaba con sensor inductivo sobre el medidor. El 25/02/2026 ese sensor fue desconectado por terceros. Se realizó visita para instalar caudalímetro ultrasónico WES; desde el 11/03/2026 el monitoreo se reactivó. Por eso, en el intervalo previo (incluido 2–10/03), el punto aparece en cero o casi cero con horas registradas.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6. ALERTAS</w:t>
      </w:r>
    </w:p>
    <w:p>
      <w:r>
        <w:t>Las alertas actualmente activas corresponden a un esquema de mínimo consumo que se repite de forma idéntica en 2 horas. Ese diseño no cubre el patrón de caudal mínimo nocturno sostenido (p. ej. madrugadas ~2,8–2,9 m³/h).</w:t>
      </w:r>
    </w:p>
    <w:p>
      <w:pPr>
        <w:pStyle w:val="ListNumber"/>
      </w:pPr>
      <w:r>
        <w:t>Se propone complementar con:</w:t>
      </w:r>
    </w:p>
    <w:p>
      <w:pPr>
        <w:pStyle w:val="ListBullet"/>
      </w:pPr>
      <w:r>
        <w:t>Alerta de umbral cuando un punto sobrepase el promedio de los últimos 90 días.</w:t>
      </w:r>
    </w:p>
    <w:p>
      <w:pPr>
        <w:pStyle w:val="ListBullet"/>
      </w:pPr>
      <w:r>
        <w:t>Alertas operativas adicionales definidas con la administración del fundo, configurables en plataforma y/o vía agente de monitoreo WES.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7. COMPROMISOS</w:t>
      </w:r>
    </w:p>
    <w:p>
      <w:pPr>
        <w:pStyle w:val="ListNumber"/>
      </w:pPr>
      <w:r>
        <w:t>Visita a terreno Etapa N°5: revisión sensor inductivo / evaluación ultrasónico, con informe escrito.</w:t>
      </w:r>
    </w:p>
    <w:p>
      <w:pPr>
        <w:pStyle w:val="ListNumber"/>
      </w:pPr>
      <w:r>
        <w:t>Dejar documentada la causa de ceros Matriz ESVAL (desconexión 25/02 y ultrasónico 11/03).</w:t>
      </w:r>
    </w:p>
    <w:p>
      <w:pPr>
        <w:pStyle w:val="ListNumber"/>
      </w:pPr>
      <w:r>
        <w:t>Confirmación en terreno del punto Matriz ESVAL respecto del medidor fiscal ESVAL.</w:t>
      </w:r>
    </w:p>
    <w:p>
      <w:pPr>
        <w:pStyle w:val="ListNumber"/>
      </w:pPr>
      <w:r>
        <w:t>Coordinar configuración de alertas adicionales (umbral 90 días y/u otras).</w:t>
      </w:r>
    </w:p>
    <w:p>
      <w:pPr>
        <w:pStyle w:val="ListNumber"/>
      </w:pPr>
      <w:r>
        <w:t>Criterio técnico: no usar solos los tramos de Etapa N°5 con bloques fijos anómalos para cuantificar volúmenes cobrables; para entrada al fundo priorizar delta medidor/boleta ESVAL + Matriz ESVAL WES con criterio horario comparable.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8. ANEXOS / REFERENCIAS</w:t>
      </w:r>
    </w:p>
    <w:p>
      <w:pPr>
        <w:pStyle w:val="ListBullet"/>
      </w:pPr>
      <w:r>
        <w:t>Boletas ESVAL cliente 631203-9, medidor 131586 (12 ciclos ago/2025–ago/2026).</w:t>
      </w:r>
    </w:p>
    <w:p>
      <w:pPr>
        <w:pStyle w:val="ListBullet"/>
      </w:pPr>
      <w:r>
        <w:t>Serie horaria WES nodos 000027-01 (Matriz ESVAL) y 000027-03 (Etapa N°5).</w:t>
      </w:r>
    </w:p>
    <w:p>
      <w:pPr>
        <w:pStyle w:val="ListBullet"/>
      </w:pPr>
      <w:r>
        <w:t>Actas/formularios WES: 13/11/2025 (reubicación Etapa 5), 25/02/2026, 11/03/2026 (ultrasónico ESVAL), 29/07/2026 (cortocircuito Etapa 5).</w:t>
      </w:r>
    </w:p>
    <w:p>
      <w:pPr>
        <w:pStyle w:val="ListBullet"/>
      </w:pPr>
      <w:r>
        <w:t>Correos: diferencia lectura Etapa 5 (15/10/2025) y coordinación MAP/visita 13/11/2025.</w:t>
      </w:r>
    </w:p>
    <w:sectPr w:rsidR="00FC693F" w:rsidRPr="0006063C" w:rsidSect="00034616">
      <w:head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