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44678"/>
          <w:sz w:val="36"/>
        </w:rPr>
        <w:t>Evaluación de consumo — Liceo 7 Providencia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0"/>
        </w:rPr>
        <w:t>Sala de bomba · Control hídrico desactivado desde 7/08/2026 · Llave de emergencia abierta (visita técnica 12/08/2026)</w:t>
        <w:br/>
        <w:t>Nodo WES 000006-04 · Horario de corte programado: 23:00 a 06:00</w:t>
      </w:r>
    </w:p>
    <w:p>
      <w:r>
        <w:rPr>
          <w:rFonts w:ascii="Calibri" w:hAnsi="Calibri" w:eastAsia="Calibri"/>
          <w:b/>
          <w:color w:val="1E5A96"/>
          <w:sz w:val="32"/>
        </w:rPr>
        <w:t>1. Hallazgo operativo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Desde julio 2026 la sala de bomba del Liceo 7 opera con monitoreo WES. El equipo genera cada noche el control hídrico del colegio (ventana 23:00–06:00). A partir del 7 de agosto se desactivó el sistema de control. En la visita técnica del 12 de agosto se encontró la llave de emergencia abierta: todo el caudal programado para corte por horario pasa de largo.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Evidencia en serie horaria: con control activo (p. ej. 3–6 ago) las horas 01:00–05:00 quedan en ≈0 m³/h. Desde el 7 ago esas mismas horas marcan 10–17 m³/h de forma continua, también sábado y domingo.</w:t>
      </w:r>
    </w:p>
    <w:p>
      <w:r>
        <w:rPr>
          <w:rFonts w:ascii="Calibri" w:hAnsi="Calibri" w:eastAsia="Calibri"/>
          <w:b/>
          <w:color w:val="1E5A96"/>
          <w:sz w:val="32"/>
        </w:rPr>
        <w:t>2. Números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5A96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160"/>
            <w:shd w:fill="1F5A96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 control (3–6 ago)</w:t>
            </w:r>
          </w:p>
        </w:tc>
        <w:tc>
          <w:tcPr>
            <w:tcW w:type="dxa" w:w="2160"/>
            <w:shd w:fill="1F5A96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Sin control (7–11 ago)</w:t>
            </w:r>
          </w:p>
        </w:tc>
        <w:tc>
          <w:tcPr>
            <w:tcW w:type="dxa" w:w="2160"/>
            <w:shd w:fill="1F5A96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Diferencia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Consumo día hábil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392,6 m³/día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577,3 m³/día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+184,7 m³/día (+47%)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Consumo nocturno 23–06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39,8 m³/noche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107,0 m³/noche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+67,2 m³/noche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Ventana estricta 01–05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0,6 m³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64,8 m³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+64,2 m³ (debería ser ~0)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 de semana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≈ 0 m³/día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406,5 m³/día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Corte de finde anulado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Julio 2026 (mes completo)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5.005,5 m³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Sala bomba en operación</w:t>
            </w:r>
          </w:p>
        </w:tc>
      </w:tr>
    </w:tbl>
    <w:p>
      <w:r>
        <w:rPr>
          <w:rFonts w:ascii="Calibri" w:hAnsi="Calibri" w:eastAsia="Calibri"/>
          <w:b/>
          <w:color w:val="1E5A96"/>
          <w:sz w:val="32"/>
        </w:rPr>
        <w:t>3. Qué significa para el colegio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En solo 5 días (7–11 ago) el colegio consumió 2.544,8 m³. Con el control funcionando, el mismo mix (3 hábiles + 2 finde) habría sido ≈ 1.177,8 m³. Exceso acumulado: 1.367,0 m³ (≈ $1.913.800 a tarifa referencial $1.400/m³).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En día hábil el exceso es ≈ 184,7 m³/día (≈ $258.533/día). Gran parte corresponde a agua que el horario de corte debería haber detenido en madrugada, más el arrastre de consumo en fines de semana que antes quedaban en cero.</w:t>
      </w:r>
    </w:p>
    <w:p>
      <w:r>
        <w:rPr>
          <w:rFonts w:ascii="Calibri" w:hAnsi="Calibri" w:eastAsia="Calibri"/>
          <w:b/>
          <w:color w:val="1E5A96"/>
          <w:sz w:val="32"/>
        </w:rPr>
        <w:t>4. Proyección mensual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Escenario comercial a 30 días (22 hábiles + 8 fin de semana), extrapolando el comportamiento medido: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5A96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2160"/>
            <w:shd w:fill="1F5A96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m³ / mes</w:t>
            </w:r>
          </w:p>
        </w:tc>
        <w:tc>
          <w:tcPr>
            <w:tcW w:type="dxa" w:w="2160"/>
            <w:shd w:fill="1F5A96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Costo ref. (CLP)</w:t>
            </w:r>
          </w:p>
        </w:tc>
        <w:tc>
          <w:tcPr>
            <w:tcW w:type="dxa" w:w="2160"/>
            <w:shd w:fill="1F5A96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Comentario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 control operativo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8.637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$12.092.080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Hábiles ~393 m³; finde ~0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control / llave abierta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15.952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$22.332.613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Hábiles ~577 m³; finde ~407 m³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Exceso 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7.315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$10.240.533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Agua que el control evitaría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 w:val="0"/>
          <w:sz w:val="22"/>
        </w:rPr>
        <w:t>En síntesis: mantener la llave de emergencia abierta y el control desactivado implica del orden de 7.315 m³/mes adicionales (≈ $10.240.533/mes a tarifa referencial). Eso casi duplica la factura respecto al escenario con corte nocturno activo.</w:t>
      </w:r>
    </w:p>
    <w:p>
      <w:r>
        <w:rPr>
          <w:rFonts w:ascii="Calibri" w:hAnsi="Calibri" w:eastAsia="Calibri"/>
          <w:b/>
          <w:color w:val="1E5A96"/>
          <w:sz w:val="32"/>
        </w:rPr>
        <w:t>5. Gráficos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Consumo diario julio–agosto (rojo = post desactivación 7/08):</w:t>
      </w:r>
    </w:p>
    <w:p>
      <w:r>
        <w:drawing>
          <wp:inline xmlns:a="http://schemas.openxmlformats.org/drawingml/2006/main" xmlns:pic="http://schemas.openxmlformats.org/drawingml/2006/picture">
            <wp:extent cx="5760720" cy="2176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di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Perfil horario con control (05/08) vs sin control (10/08):</w:t>
      </w:r>
    </w:p>
    <w:p>
      <w:r>
        <w:drawing>
          <wp:inline xmlns:a="http://schemas.openxmlformats.org/drawingml/2006/main" xmlns:pic="http://schemas.openxmlformats.org/drawingml/2006/picture">
            <wp:extent cx="5486400" cy="24569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fil_con_control_05a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6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569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fil_sin_control_10a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6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Proyección mensual comparada:</w:t>
      </w:r>
    </w:p>
    <w:p>
      <w:r>
        <w:drawing>
          <wp:inline xmlns:a="http://schemas.openxmlformats.org/drawingml/2006/main" xmlns:pic="http://schemas.openxmlformats.org/drawingml/2006/picture">
            <wp:extent cx="5029200" cy="2784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yeccion_mens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4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color w:val="1E5A96"/>
          <w:sz w:val="32"/>
        </w:rPr>
        <w:t>6. Detalle diario post-desactivación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5A96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440"/>
            <w:shd w:fill="1F5A96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1440"/>
            <w:shd w:fill="1F5A96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Total m³</w:t>
            </w:r>
          </w:p>
        </w:tc>
        <w:tc>
          <w:tcPr>
            <w:tcW w:type="dxa" w:w="1440"/>
            <w:shd w:fill="1F5A96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Noche 23–06</w:t>
            </w:r>
          </w:p>
        </w:tc>
        <w:tc>
          <w:tcPr>
            <w:tcW w:type="dxa" w:w="1440"/>
            <w:shd w:fill="1F5A96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01–05 m³</w:t>
            </w:r>
          </w:p>
        </w:tc>
        <w:tc>
          <w:tcPr>
            <w:tcW w:type="dxa" w:w="1440"/>
            <w:shd w:fill="1F5A96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2026-08-03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387,2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28,2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 control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2026-08-04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Tue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408,4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44,0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 control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2026-08-05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383,2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38,6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 control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2026-08-06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Thu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391,6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48,2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 control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2026-08-07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602,4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114,8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68,0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CONTROL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2026-08-08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417,4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103,8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66,2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CONTROL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2026-08-09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395,6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103,2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67,8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CONTROL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2026-08-10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573,4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105,2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60,4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CONTROL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2026-08-11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Tue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556,0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107,8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61,6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CONTROL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2026-08-12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210,2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30,4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10,6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CONTROL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 w:val="0"/>
          <w:sz w:val="18"/>
        </w:rPr>
        <w:t>Nota: 12/08 es día parcial (visita técnica en curso); no se usa para promedios ni proyección.</w:t>
      </w:r>
    </w:p>
    <w:p>
      <w:r>
        <w:rPr>
          <w:rFonts w:ascii="Calibri" w:hAnsi="Calibri" w:eastAsia="Calibri"/>
          <w:b/>
          <w:color w:val="1E5A96"/>
          <w:sz w:val="32"/>
        </w:rPr>
        <w:t>7. Recomendación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1) Cerrar de inmediato la llave de emergencia y restablecer el control hídrico con el horario 23:00–06:00.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2) Verificar en la app/control nocturno WES que las horas 01–05 vuelvan a 0 m³/h la misma noche del cierre.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3) Mientras la llave permanezca abierta, el colegio proyecta ~16.000 m³/mes frente a ~8.600 m³/mes con control: un sobrecosto del orden de 7.300 m³/mes.</w:t>
      </w:r>
    </w:p>
    <w:p>
      <w:r>
        <w:rPr>
          <w:rFonts w:ascii="Calibri" w:hAnsi="Calibri" w:eastAsia="Calibri"/>
          <w:b w:val="0"/>
          <w:color w:val="787878"/>
          <w:sz w:val="16"/>
        </w:rPr>
        <w:t>Fuente: API WES nodo 000006-04 · Generado 2026-08-12T20:05:09 · Tarifa $1.400/m³ solo referencial (no factura oficial).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