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Calibri" w:hAnsi="Calibri" w:eastAsia="Calibri"/>
          <w:b/>
          <w:color w:val="1F5A96"/>
          <w:sz w:val="32"/>
        </w:rPr>
        <w:t>Liceo 7 Providencia — Resumen de consumo hídrico</w:t>
      </w:r>
    </w:p>
    <w:p>
      <w:pPr>
        <w:spacing w:after="200" w:before="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One page para cliente  ·  Nodo WES 000006-04  ·  12/08/2026</w:t>
      </w:r>
    </w:p>
    <w:p>
      <w:pPr>
        <w:spacing w:after="60" w:before="0" w:line="259" w:lineRule="auto"/>
      </w:pPr>
      <w:r>
        <w:rPr>
          <w:rFonts w:ascii="Calibri" w:hAnsi="Calibri" w:eastAsia="Calibri"/>
          <w:b/>
          <w:color w:val="1F5A96"/>
          <w:sz w:val="24"/>
        </w:rPr>
        <w:t>1. Situación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color w:val="222222"/>
          <w:sz w:val="21"/>
        </w:rPr>
        <w:t>Desde julio opera la sala de bomba con control hídrico nocturno (23:00–06:00). El 7 de agosto se desactivó el control. En visita técnica del 12/08 se encontró la llave de emergencia abierta, por lo que el agua que debería cortarse por horario sigue pasando.</w:t>
      </w:r>
    </w:p>
    <w:p>
      <w:pPr>
        <w:spacing w:after="60" w:before="0" w:line="259" w:lineRule="auto"/>
      </w:pPr>
      <w:r>
        <w:rPr>
          <w:rFonts w:ascii="Calibri" w:hAnsi="Calibri" w:eastAsia="Calibri"/>
          <w:b/>
          <w:color w:val="1F5A96"/>
          <w:sz w:val="24"/>
        </w:rPr>
        <w:t>2. Impacto medido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5A9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</w:r>
          </w:p>
        </w:tc>
        <w:tc>
          <w:tcPr>
            <w:tcW w:type="dxa" w:w="3400"/>
            <w:shd w:fill="1F5A9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 control</w:t>
              <w:br/>
              <w:t>(3–6 ago)</w:t>
            </w:r>
          </w:p>
        </w:tc>
        <w:tc>
          <w:tcPr>
            <w:tcW w:type="dxa" w:w="3400"/>
            <w:shd w:fill="1F5A9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Sin control</w:t>
              <w:br/>
              <w:t>(7–11 ago)</w:t>
            </w:r>
          </w:p>
        </w:tc>
      </w:tr>
      <w:tr>
        <w:tc>
          <w:tcPr>
            <w:tcW w:type="dxa" w:w="340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Día hábil</w:t>
            </w:r>
          </w:p>
        </w:tc>
        <w:tc>
          <w:tcPr>
            <w:tcW w:type="dxa" w:w="340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393 m³/día</w:t>
            </w:r>
          </w:p>
        </w:tc>
        <w:tc>
          <w:tcPr>
            <w:tcW w:type="dxa" w:w="3400"/>
            <w:shd w:fill="FDECEC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9"/>
              </w:rPr>
              <w:t>577 m³/día  (+47%)</w:t>
            </w:r>
          </w:p>
        </w:tc>
      </w:tr>
      <w:tr>
        <w:tc>
          <w:tcPr>
            <w:tcW w:type="dxa" w:w="340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Noche 23:00–06:00</w:t>
            </w:r>
          </w:p>
        </w:tc>
        <w:tc>
          <w:tcPr>
            <w:tcW w:type="dxa" w:w="340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40 m³</w:t>
            </w:r>
          </w:p>
        </w:tc>
        <w:tc>
          <w:tcPr>
            <w:tcW w:type="dxa" w:w="3400"/>
            <w:shd w:fill="FDECEC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9"/>
              </w:rPr>
              <w:t>107 m³</w:t>
            </w:r>
          </w:p>
        </w:tc>
      </w:tr>
      <w:tr>
        <w:tc>
          <w:tcPr>
            <w:tcW w:type="dxa" w:w="340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Madrugada 01–05 h</w:t>
            </w:r>
          </w:p>
        </w:tc>
        <w:tc>
          <w:tcPr>
            <w:tcW w:type="dxa" w:w="340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≈ 0 m³</w:t>
            </w:r>
          </w:p>
        </w:tc>
        <w:tc>
          <w:tcPr>
            <w:tcW w:type="dxa" w:w="3400"/>
            <w:shd w:fill="FDECEC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9"/>
              </w:rPr>
              <w:t>65 m³ (sin corte)</w:t>
            </w:r>
          </w:p>
        </w:tc>
      </w:tr>
      <w:tr>
        <w:tc>
          <w:tcPr>
            <w:tcW w:type="dxa" w:w="340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Fin de semana</w:t>
            </w:r>
          </w:p>
        </w:tc>
        <w:tc>
          <w:tcPr>
            <w:tcW w:type="dxa" w:w="340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≈ 0 m³/día</w:t>
            </w:r>
          </w:p>
        </w:tc>
        <w:tc>
          <w:tcPr>
            <w:tcW w:type="dxa" w:w="3400"/>
            <w:shd w:fill="FDECEC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9"/>
              </w:rPr>
              <w:t>407 m³/día</w:t>
            </w:r>
          </w:p>
        </w:tc>
      </w:tr>
    </w:tbl>
    <w:p>
      <w:pPr>
        <w:spacing w:after="40" w:before="0" w:line="259" w:lineRule="auto"/>
      </w:pPr>
      <w:r>
        <w:rPr>
          <w:rFonts w:ascii="Calibri" w:hAnsi="Calibri" w:eastAsia="Calibri"/>
          <w:b w:val="0"/>
          <w:color w:val="222222"/>
          <w:sz w:val="12"/>
        </w:rPr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color w:val="222222"/>
          <w:sz w:val="21"/>
        </w:rPr>
        <w:t>En 5 días (7–11 ago) el exceso acumulado fue ≈ 1.370 m³ respecto al escenario con control.</w:t>
      </w:r>
    </w:p>
    <w:p>
      <w:pPr>
        <w:spacing w:after="60" w:before="0" w:line="259" w:lineRule="auto"/>
      </w:pPr>
      <w:r>
        <w:rPr>
          <w:rFonts w:ascii="Calibri" w:hAnsi="Calibri" w:eastAsia="Calibri"/>
          <w:b/>
          <w:color w:val="1F5A96"/>
          <w:sz w:val="24"/>
        </w:rPr>
        <w:t>3. Proyección mensual si se mantiene así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5A9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3400"/>
            <w:shd w:fill="1F5A9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m³ / mes</w:t>
            </w:r>
          </w:p>
        </w:tc>
        <w:tc>
          <w:tcPr>
            <w:tcW w:type="dxa" w:w="3400"/>
            <w:shd w:fill="1F5A9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Costo referencial*</w:t>
            </w:r>
          </w:p>
        </w:tc>
      </w:tr>
      <w:tr>
        <w:tc>
          <w:tcPr>
            <w:tcW w:type="dxa" w:w="340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Con control operativo</w:t>
            </w:r>
          </w:p>
        </w:tc>
        <w:tc>
          <w:tcPr>
            <w:tcW w:type="dxa" w:w="340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9"/>
              </w:rPr>
              <w:t>≈ 8.600 m³</w:t>
            </w:r>
          </w:p>
        </w:tc>
        <w:tc>
          <w:tcPr>
            <w:tcW w:type="dxa" w:w="340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9"/>
              </w:rPr>
              <w:t>≈ $12,0 millones</w:t>
            </w:r>
          </w:p>
        </w:tc>
      </w:tr>
      <w:tr>
        <w:tc>
          <w:tcPr>
            <w:tcW w:type="dxa" w:w="340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Sin control / llave abierta</w:t>
            </w:r>
          </w:p>
        </w:tc>
        <w:tc>
          <w:tcPr>
            <w:tcW w:type="dxa" w:w="340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9"/>
              </w:rPr>
              <w:t>≈ 16.000 m³</w:t>
            </w:r>
          </w:p>
        </w:tc>
        <w:tc>
          <w:tcPr>
            <w:tcW w:type="dxa" w:w="340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9"/>
              </w:rPr>
              <w:t>≈ $22,4 millones</w:t>
            </w:r>
          </w:p>
        </w:tc>
      </w:tr>
      <w:tr>
        <w:tc>
          <w:tcPr>
            <w:tcW w:type="dxa" w:w="3400"/>
            <w:shd w:fill="FDECEC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B01E1E"/>
                <w:sz w:val="19"/>
              </w:rPr>
              <w:t>Exceso mensual</w:t>
            </w:r>
          </w:p>
        </w:tc>
        <w:tc>
          <w:tcPr>
            <w:tcW w:type="dxa" w:w="3400"/>
            <w:shd w:fill="FDECEC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9"/>
              </w:rPr>
              <w:t>≈ 7.300 m³</w:t>
            </w:r>
          </w:p>
        </w:tc>
        <w:tc>
          <w:tcPr>
            <w:tcW w:type="dxa" w:w="3400"/>
            <w:shd w:fill="FDECEC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9"/>
              </w:rPr>
              <w:t>≈ $10,2 millones</w:t>
            </w:r>
          </w:p>
        </w:tc>
      </w:tr>
    </w:tbl>
    <w:p>
      <w:pPr>
        <w:spacing w:after="160" w:before="80" w:line="259" w:lineRule="auto"/>
      </w:pPr>
      <w:r>
        <w:rPr>
          <w:rFonts w:ascii="Calibri" w:hAnsi="Calibri" w:eastAsia="Calibri"/>
          <w:b w:val="0"/>
          <w:color w:val="555555"/>
          <w:sz w:val="16"/>
        </w:rPr>
        <w:t>*Tarifa referencial $1.400/m³ (orientativa, no factura). Extrapolación 22 hábiles + 8 fin de semana.</w:t>
      </w:r>
    </w:p>
    <w:p>
      <w:pPr>
        <w:spacing w:after="60" w:before="0" w:line="259" w:lineRule="auto"/>
      </w:pPr>
      <w:r>
        <w:rPr>
          <w:rFonts w:ascii="Calibri" w:hAnsi="Calibri" w:eastAsia="Calibri"/>
          <w:b/>
          <w:color w:val="1F5A96"/>
          <w:sz w:val="24"/>
        </w:rPr>
        <w:t>4. Acción recomendada</w:t>
      </w:r>
    </w:p>
    <w:p>
      <w:pPr>
        <w:spacing w:after="200" w:before="0" w:line="259" w:lineRule="auto"/>
      </w:pPr>
      <w:r>
        <w:rPr>
          <w:rFonts w:ascii="Calibri" w:hAnsi="Calibri" w:eastAsia="Calibri"/>
          <w:b/>
          <w:color w:val="222222"/>
          <w:sz w:val="21"/>
        </w:rPr>
        <w:t>Cerrar de inmediato la llave de emergencia, reactivar el control 23:00–06:00 y verificar la misma noche en WES que las horas 01–05 vuelvan a ≈ 0 m³/h.</w:t>
      </w:r>
    </w:p>
    <w:p>
      <w:pPr>
        <w:spacing w:after="0" w:before="0" w:line="259" w:lineRule="auto"/>
        <w:jc w:val="center"/>
      </w:pPr>
      <w:r>
        <w:rPr>
          <w:rFonts w:ascii="Calibri" w:hAnsi="Calibri" w:eastAsia="Calibri"/>
          <w:b w:val="0"/>
          <w:color w:val="555555"/>
          <w:sz w:val="16"/>
        </w:rPr>
        <w:t>WES  ·  Fuente: mediciones nodo 000006-04  ·  Julio 2026 (con sala de bomba): 5.006 m³</w:t>
      </w:r>
    </w:p>
    <w:sectPr w:rsidR="00FC693F" w:rsidRPr="0006063C" w:rsidSect="00034616">
      <w:headerReference w:type="default" r:id="rId9"/>
      <w:pgSz w:w="12240" w:h="15840"/>
      <w:pgMar w:top="737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