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1F5A96"/>
            <w:tcMar>
              <w:top w:w="60" w:type="dxa"/>
              <w:left w:w="90" w:type="dxa"/>
              <w:bottom w:w="45" w:type="dxa"/>
              <w:right w:w="90" w:type="dxa"/>
            </w:tcMar>
            <w:tcBorders>
              <w:top w:val="single" w:sz="12" w:space="0" w:color="1F5A96"/>
              <w:left w:val="single" w:sz="12" w:space="0" w:color="1F5A96"/>
              <w:bottom w:val="single" w:sz="12" w:space="0" w:color="1F5A96"/>
              <w:right w:val="single" w:sz="12" w:space="0" w:color="1F5A96"/>
            </w:tcBorders>
          </w:tcPr>
          <w:p>
            <w:pPr>
              <w:spacing w:before="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6"/>
              </w:rPr>
              <w:t>Liceo 7 Luisa Saavedra — Providencia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DBEAFE"/>
                <w:sz w:val="16"/>
              </w:rPr>
              <w:t>One page consumo hídrico  ·  Sala de bomba  ·  WES 000006-04  ·  12/08/2026</w:t>
            </w:r>
          </w:p>
        </w:tc>
      </w:tr>
    </w:tbl>
    <w:p>
      <w:pPr>
        <w:spacing w:after="60" w:before="0" w:line="259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shd w:fill="C0392B"/>
            <w:tcMar>
              <w:top w:w="50" w:type="dxa"/>
              <w:left w:w="70" w:type="dxa"/>
              <w:bottom w:w="40" w:type="dxa"/>
              <w:right w:w="70" w:type="dxa"/>
            </w:tcMar>
            <w:tcBorders>
              <w:top w:val="single" w:sz="12" w:space="0" w:color="C0392B"/>
              <w:left w:val="single" w:sz="12" w:space="0" w:color="C0392B"/>
              <w:bottom w:val="single" w:sz="12" w:space="0" w:color="C0392B"/>
              <w:right w:val="single" w:sz="12" w:space="0" w:color="C0392B"/>
            </w:tcBorders>
          </w:tcPr>
          <w:p>
            <w:pPr>
              <w:spacing w:before="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EF2F2"/>
                <w:sz w:val="15"/>
              </w:rPr>
              <w:t>CONSUMO EXTRA MEDIDO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44"/>
              </w:rPr>
              <w:t>+47%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EF2F2"/>
                <w:sz w:val="16"/>
              </w:rPr>
              <w:t>por día hábil (393 → 577 m³)</w:t>
            </w:r>
          </w:p>
        </w:tc>
        <w:tc>
          <w:tcPr>
            <w:tcW w:type="dxa" w:w="5326"/>
            <w:shd w:fill="7F1D1D"/>
            <w:tcMar>
              <w:top w:w="50" w:type="dxa"/>
              <w:left w:w="70" w:type="dxa"/>
              <w:bottom w:w="40" w:type="dxa"/>
              <w:right w:w="70" w:type="dxa"/>
            </w:tcMar>
            <w:tcBorders>
              <w:top w:val="single" w:sz="12" w:space="0" w:color="7F1D1D"/>
              <w:left w:val="single" w:sz="12" w:space="0" w:color="7F1D1D"/>
              <w:bottom w:val="single" w:sz="12" w:space="0" w:color="7F1D1D"/>
              <w:right w:val="single" w:sz="12" w:space="0" w:color="7F1D1D"/>
            </w:tcBorders>
          </w:tcPr>
          <w:p>
            <w:pPr>
              <w:spacing w:before="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EF2F2"/>
                <w:sz w:val="15"/>
              </w:rPr>
              <w:t>PROYECCIÓN MENSUAL DE EXCESO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44"/>
              </w:rPr>
              <w:t>+85%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EF2F2"/>
                <w:sz w:val="16"/>
              </w:rPr>
              <w:t>≈ 7.315 m³/mes evitables (~$10.2 M*)</w:t>
            </w:r>
          </w:p>
        </w:tc>
      </w:tr>
    </w:tbl>
    <w:p>
      <w:pPr>
        <w:spacing w:after="80" w:before="0" w:line="259" w:lineRule="auto"/>
      </w:pPr>
    </w:p>
    <w:p>
      <w:pPr>
        <w:spacing w:after="40" w:before="0" w:line="259" w:lineRule="auto"/>
      </w:pPr>
      <w:r>
        <w:rPr>
          <w:rFonts w:ascii="Calibri" w:hAnsi="Calibri" w:eastAsia="Calibri"/>
          <w:b/>
          <w:i w:val="0"/>
          <w:color w:val="1F5A96"/>
          <w:sz w:val="21"/>
        </w:rPr>
        <w:t>Situación</w:t>
      </w:r>
    </w:p>
    <w:p>
      <w:pPr>
        <w:spacing w:after="80" w:before="0" w:line="259" w:lineRule="auto"/>
      </w:pPr>
      <w:r>
        <w:rPr>
          <w:rFonts w:ascii="Calibri" w:hAnsi="Calibri" w:eastAsia="Calibri"/>
          <w:b w:val="0"/>
          <w:i w:val="0"/>
          <w:color w:val="1A1A1A"/>
          <w:sz w:val="18"/>
        </w:rPr>
        <w:t>La sala de bomba opera desde julio con corte WES programado 23:00–06:00. Desde el 7/08 ese corte dejó de ejecutarse. El 12/08 se verificó la llave de emergencia abierta. La automatización de la empresa de la sala de bomba está tomando el control del sistema; por eso el equipo WES no puede mantenerse activo ni cortar el agua: hoy el caudal nocturno no se detiene.</w:t>
      </w:r>
    </w:p>
    <w:p>
      <w:pPr>
        <w:spacing w:after="20" w:before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6480" cy="2135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onepage_profes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35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59" w:lineRule="auto"/>
      </w:pPr>
      <w:r>
        <w:rPr>
          <w:rFonts w:ascii="Calibri" w:hAnsi="Calibri" w:eastAsia="Calibri"/>
          <w:b w:val="0"/>
          <w:i/>
          <w:color w:val="4B5563"/>
          <w:sz w:val="15"/>
        </w:rPr>
        <w:t>Con control, 01:00–05:00 ≈ 0 m³/h. Sin corte efectivo: 9–19 m³/h en madrugada y consumo alto también sábado/domingo.</w:t>
      </w:r>
    </w:p>
    <w:p>
      <w:pPr>
        <w:spacing w:after="40" w:before="0" w:line="259" w:lineRule="auto"/>
      </w:pPr>
      <w:r>
        <w:rPr>
          <w:rFonts w:ascii="Calibri" w:hAnsi="Calibri" w:eastAsia="Calibri"/>
          <w:b/>
          <w:i w:val="0"/>
          <w:color w:val="1F5A96"/>
          <w:sz w:val="21"/>
        </w:rPr>
        <w:t>Impacto medido (3–11 agosto)</w:t>
      </w:r>
    </w:p>
    <w:p>
      <w:pPr>
        <w:spacing w:after="80" w:before="0" w:line="269" w:lineRule="auto"/>
      </w:pPr>
      <w:r>
        <w:rPr>
          <w:rFonts w:ascii="Calibri" w:hAnsi="Calibri" w:eastAsia="Calibri"/>
          <w:b/>
          <w:i w:val="0"/>
          <w:color w:val="1A1A1A"/>
          <w:sz w:val="18"/>
        </w:rPr>
        <w:t xml:space="preserve">Día hábil: </w:t>
      </w:r>
      <w:r>
        <w:rPr>
          <w:rFonts w:ascii="Calibri" w:hAnsi="Calibri" w:eastAsia="Calibri"/>
          <w:b w:val="0"/>
          <w:i w:val="0"/>
          <w:color w:val="1A1A1A"/>
          <w:sz w:val="18"/>
        </w:rPr>
        <w:t>393 m³ con control → 577 m³ sin corte (</w:t>
      </w:r>
      <w:r>
        <w:rPr>
          <w:rFonts w:ascii="Calibri" w:hAnsi="Calibri" w:eastAsia="Calibri"/>
          <w:b/>
          <w:i w:val="0"/>
          <w:color w:val="C0392B"/>
          <w:sz w:val="18"/>
        </w:rPr>
        <w:t>+47%</w:t>
      </w:r>
      <w:r>
        <w:rPr>
          <w:rFonts w:ascii="Calibri" w:hAnsi="Calibri" w:eastAsia="Calibri"/>
          <w:b w:val="0"/>
          <w:i w:val="0"/>
          <w:color w:val="1A1A1A"/>
          <w:sz w:val="18"/>
        </w:rPr>
        <w:t xml:space="preserve">).  </w:t>
      </w:r>
      <w:r>
        <w:rPr>
          <w:rFonts w:ascii="Calibri" w:hAnsi="Calibri" w:eastAsia="Calibri"/>
          <w:b/>
          <w:i w:val="0"/>
          <w:color w:val="1A1A1A"/>
          <w:sz w:val="18"/>
        </w:rPr>
        <w:t xml:space="preserve">Noche 23–06: </w:t>
      </w:r>
      <w:r>
        <w:rPr>
          <w:rFonts w:ascii="Calibri" w:hAnsi="Calibri" w:eastAsia="Calibri"/>
          <w:b w:val="0"/>
          <w:i w:val="0"/>
          <w:color w:val="1A1A1A"/>
          <w:sz w:val="18"/>
        </w:rPr>
        <w:t xml:space="preserve">40 → 107 m³.  </w:t>
      </w:r>
      <w:r>
        <w:rPr>
          <w:rFonts w:ascii="Calibri" w:hAnsi="Calibri" w:eastAsia="Calibri"/>
          <w:b/>
          <w:i w:val="0"/>
          <w:color w:val="1A1A1A"/>
          <w:sz w:val="18"/>
        </w:rPr>
        <w:t xml:space="preserve">Madrugada 01–05: </w:t>
      </w:r>
      <w:r>
        <w:rPr>
          <w:rFonts w:ascii="Calibri" w:hAnsi="Calibri" w:eastAsia="Calibri"/>
          <w:b w:val="0"/>
          <w:i w:val="0"/>
          <w:color w:val="1A1A1A"/>
          <w:sz w:val="18"/>
        </w:rPr>
        <w:t xml:space="preserve">≈0 → 65 m³ (debería permanecer en cero).  </w:t>
      </w:r>
      <w:r>
        <w:rPr>
          <w:rFonts w:ascii="Calibri" w:hAnsi="Calibri" w:eastAsia="Calibri"/>
          <w:b/>
          <w:i w:val="0"/>
          <w:color w:val="1A1A1A"/>
          <w:sz w:val="18"/>
        </w:rPr>
        <w:t xml:space="preserve">Fin de semana: </w:t>
      </w:r>
      <w:r>
        <w:rPr>
          <w:rFonts w:ascii="Calibri" w:hAnsi="Calibri" w:eastAsia="Calibri"/>
          <w:b w:val="0"/>
          <w:i w:val="0"/>
          <w:color w:val="1A1A1A"/>
          <w:sz w:val="18"/>
        </w:rPr>
        <w:t xml:space="preserve">≈0 → 406 m³/día.  </w:t>
      </w:r>
      <w:r>
        <w:rPr>
          <w:rFonts w:ascii="Calibri" w:hAnsi="Calibri" w:eastAsia="Calibri"/>
          <w:b/>
          <w:i w:val="0"/>
          <w:color w:val="1A1A1A"/>
          <w:sz w:val="18"/>
        </w:rPr>
        <w:t xml:space="preserve">Exceso acumulado 7–11 ago: </w:t>
      </w:r>
      <w:r>
        <w:rPr>
          <w:rFonts w:ascii="Calibri" w:hAnsi="Calibri" w:eastAsia="Calibri"/>
          <w:b/>
          <w:i w:val="0"/>
          <w:color w:val="C0392B"/>
          <w:sz w:val="18"/>
        </w:rPr>
        <w:t>≈ 1.367 m³</w:t>
      </w:r>
      <w:r>
        <w:rPr>
          <w:rFonts w:ascii="Calibri" w:hAnsi="Calibri" w:eastAsia="Calibri"/>
          <w:b w:val="0"/>
          <w:i w:val="0"/>
          <w:color w:val="1A1A1A"/>
          <w:sz w:val="18"/>
        </w:rPr>
        <w:t>.</w:t>
      </w:r>
    </w:p>
    <w:p>
      <w:pPr>
        <w:spacing w:after="40" w:before="0" w:line="259" w:lineRule="auto"/>
      </w:pPr>
      <w:r>
        <w:rPr>
          <w:rFonts w:ascii="Calibri" w:hAnsi="Calibri" w:eastAsia="Calibri"/>
          <w:b/>
          <w:i w:val="0"/>
          <w:color w:val="1F5A96"/>
          <w:sz w:val="21"/>
        </w:rPr>
        <w:t>Proyección a 30 días (22 hábiles + 8 fin de semana)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1F5A96"/>
            <w:tcMar>
              <w:top w:w="48" w:type="dxa"/>
              <w:left w:w="60" w:type="dxa"/>
              <w:bottom w:w="40" w:type="dxa"/>
              <w:right w:w="60" w:type="dxa"/>
            </w:tcMar>
            <w:tcBorders>
              <w:top w:val="single" w:sz="12" w:space="0" w:color="1F5A96"/>
              <w:left w:val="single" w:sz="12" w:space="0" w:color="1F5A96"/>
              <w:bottom w:val="single" w:sz="12" w:space="0" w:color="1F5A96"/>
              <w:right w:val="single" w:sz="12" w:space="0" w:color="1F5A96"/>
            </w:tcBorders>
          </w:tcPr>
          <w:p>
            <w:pPr>
              <w:spacing w:before="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DBEAFE"/>
                <w:sz w:val="15"/>
              </w:rPr>
              <w:t>Con control WES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≈ 8.637 m³/mes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EF2F2"/>
                <w:sz w:val="14"/>
              </w:rPr>
              <w:t>Base operativa</w:t>
            </w:r>
          </w:p>
        </w:tc>
        <w:tc>
          <w:tcPr>
            <w:tcW w:type="dxa" w:w="3551"/>
            <w:shd w:fill="C0392B"/>
            <w:tcMar>
              <w:top w:w="48" w:type="dxa"/>
              <w:left w:w="60" w:type="dxa"/>
              <w:bottom w:w="40" w:type="dxa"/>
              <w:right w:w="60" w:type="dxa"/>
            </w:tcMar>
            <w:tcBorders>
              <w:top w:val="single" w:sz="12" w:space="0" w:color="C0392B"/>
              <w:left w:val="single" w:sz="12" w:space="0" w:color="C0392B"/>
              <w:bottom w:val="single" w:sz="12" w:space="0" w:color="C0392B"/>
              <w:right w:val="single" w:sz="12" w:space="0" w:color="C0392B"/>
            </w:tcBorders>
          </w:tcPr>
          <w:p>
            <w:pPr>
              <w:spacing w:before="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DBEAFE"/>
                <w:sz w:val="15"/>
              </w:rPr>
              <w:t>Sin corte efectivo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≈ 15.952 m³/mes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EF2F2"/>
                <w:sz w:val="14"/>
              </w:rPr>
              <w:t>Tendencia actual</w:t>
            </w:r>
          </w:p>
        </w:tc>
        <w:tc>
          <w:tcPr>
            <w:tcW w:type="dxa" w:w="3551"/>
            <w:shd w:fill="7F1D1D"/>
            <w:tcMar>
              <w:top w:w="48" w:type="dxa"/>
              <w:left w:w="60" w:type="dxa"/>
              <w:bottom w:w="40" w:type="dxa"/>
              <w:right w:w="60" w:type="dxa"/>
            </w:tcMar>
            <w:tcBorders>
              <w:top w:val="single" w:sz="12" w:space="0" w:color="7F1D1D"/>
              <w:left w:val="single" w:sz="12" w:space="0" w:color="7F1D1D"/>
              <w:bottom w:val="single" w:sz="12" w:space="0" w:color="7F1D1D"/>
              <w:right w:val="single" w:sz="12" w:space="0" w:color="7F1D1D"/>
            </w:tcBorders>
          </w:tcPr>
          <w:p>
            <w:pPr>
              <w:spacing w:before="0" w:after="2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DBEAFE"/>
                <w:sz w:val="15"/>
              </w:rPr>
              <w:t>Exceso +85%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≈ 7.315 m³/mes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FEF2F2"/>
                <w:sz w:val="14"/>
              </w:rPr>
              <w:t>~$10,2 M referenciales*</w:t>
            </w:r>
          </w:p>
        </w:tc>
      </w:tr>
    </w:tbl>
    <w:p>
      <w:pPr>
        <w:spacing w:after="80" w:before="40" w:line="259" w:lineRule="auto"/>
      </w:pPr>
      <w:r>
        <w:rPr>
          <w:rFonts w:ascii="Calibri" w:hAnsi="Calibri" w:eastAsia="Calibri"/>
          <w:b w:val="0"/>
          <w:i/>
          <w:color w:val="4B5563"/>
          <w:sz w:val="14"/>
        </w:rPr>
        <w:t>*Tarifa referencial $1.400/m³ (orientativa, no factura).</w:t>
      </w:r>
    </w:p>
    <w:p>
      <w:pPr>
        <w:spacing w:after="40" w:before="0" w:line="259" w:lineRule="auto"/>
      </w:pPr>
      <w:r>
        <w:rPr>
          <w:rFonts w:ascii="Calibri" w:hAnsi="Calibri" w:eastAsia="Calibri"/>
          <w:b/>
          <w:i w:val="0"/>
          <w:color w:val="1F5A96"/>
          <w:sz w:val="21"/>
        </w:rPr>
        <w:t>Recomendación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EFF6FF"/>
            <w:tcMar>
              <w:top w:w="50" w:type="dxa"/>
              <w:left w:w="90" w:type="dxa"/>
              <w:bottom w:w="45" w:type="dxa"/>
              <w:right w:w="90" w:type="dxa"/>
            </w:tcMar>
            <w:tcBorders>
              <w:top w:val="single" w:sz="12" w:space="0" w:color="1F5A96"/>
              <w:left w:val="single" w:sz="12" w:space="0" w:color="1F5A96"/>
              <w:bottom w:val="single" w:sz="12" w:space="0" w:color="1F5A96"/>
              <w:right w:val="single" w:sz="12" w:space="0" w:color="1F5A96"/>
            </w:tcBorders>
          </w:tcPr>
          <w:p>
            <w:pPr>
              <w:spacing w:before="0" w:after="20" w:line="252" w:lineRule="auto"/>
            </w:pPr>
            <w:r/>
            <w:r>
              <w:rPr>
                <w:rFonts w:ascii="Calibri" w:hAnsi="Calibri" w:eastAsia="Calibri"/>
                <w:b/>
                <w:i w:val="0"/>
                <w:color w:val="1F5A96"/>
                <w:sz w:val="18"/>
              </w:rPr>
              <w:t>Pedir a la empresa de la sala de bomba que corrija la instalación y su automatización.</w:t>
            </w:r>
          </w:p>
          <w:p>
            <w:pPr>
              <w:spacing w:before="0" w:after="20" w:line="252" w:lineRule="auto"/>
            </w:pPr>
            <w:r>
              <w:rPr>
                <w:rFonts w:ascii="Calibri" w:hAnsi="Calibri" w:eastAsia="Calibri"/>
                <w:b w:val="0"/>
                <w:i w:val="0"/>
                <w:color w:val="1A1A1A"/>
                <w:sz w:val="17"/>
              </w:rPr>
              <w:t>Hoy controlan automáticamente el sistema; por eso WES no puede quedar activo ni ejecutar el corte: el agua no se corta nunca. Mientras eso no se resuelva, el colegio proyecta un consumo mensual aproximadamente 85% mayor al escenario con control.</w:t>
            </w:r>
          </w:p>
          <w:p>
            <w:pPr>
              <w:spacing w:before="0" w:after="20" w:line="252" w:lineRule="auto"/>
            </w:pPr>
            <w:r>
              <w:rPr>
                <w:rFonts w:ascii="Calibri" w:hAnsi="Calibri" w:eastAsia="Calibri"/>
                <w:b/>
                <w:i w:val="0"/>
                <w:color w:val="1A1A1A"/>
                <w:sz w:val="17"/>
              </w:rPr>
              <w:t>Pedido concreto: 1) Cerrar y asegurar la llave de emergencia.  2) Ajustar la automatización para que no anule el corte WES.  3) Reactivar WES 23:00–06:00 y verificar la misma noche que 01:00–05:00 vuelvan a ≈ 0 m³/h.</w:t>
            </w:r>
          </w:p>
        </w:tc>
      </w:tr>
    </w:tbl>
    <w:p>
      <w:pPr>
        <w:spacing w:after="0" w:before="80" w:line="259" w:lineRule="auto"/>
        <w:jc w:val="center"/>
      </w:pPr>
      <w:r>
        <w:rPr>
          <w:rFonts w:ascii="Calibri" w:hAnsi="Calibri" w:eastAsia="Calibri"/>
          <w:b w:val="0"/>
          <w:i w:val="0"/>
          <w:color w:val="4B5563"/>
          <w:sz w:val="14"/>
        </w:rPr>
        <w:t>WES Chile  ·  Fuente: API nodo 000006-04  ·  Julio 2026 (sala de bomba operativa): 5.006 m³</w:t>
      </w:r>
    </w:p>
    <w:sectPr w:rsidR="00FC693F" w:rsidRPr="0006063C" w:rsidSect="00034616">
      <w:headerReference w:type="default" r:id="rId9"/>
      <w:pgSz w:w="12240" w:h="15840"/>
      <w:pgMar w:top="567" w:right="794" w:bottom="482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