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DL Kennedy),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Principal, Bazar Gourmet, DL Kennedy, Matriz 1° piso de El Bosque y Falabella de Maipú (el mall sale por ahí desde el 15/08).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DL Kennedy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3165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DL Kennedy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0,9 m³ → 0  ·  umbral 20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27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$37.800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DL Kennedy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4.814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$6.739.110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antes de los presostatos (fuga día y noche). Dorado = después del 11/06: de madrugada casi desaparece y de día baja a menos de la mitad.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~5 m³/h. Dorado = con on/off: 01:00–05:00 en cero. El ~2 m³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El control es cortar de noche en esos dos ramales,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DL Kennedy: noche 0,9 m³ → 0 = 27 m³/mes ($37.800).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DL Kennedy de Kennedy, (d) Matriz 1° piso de El Bosque y (e) Falabella de Maipú. Con eso se proyectan 1.989 m³/mes adicionales ($2.784.390).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1.989 m³/mes ($2.784.390): Quilicura, Bazar Gourmet, DL Kennedy, El Bosque 1° piso y Falabella Maipú, pasando esa misma ventana a cero. Suma total 4.814 m³/mes ($6.739.110).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y en DL Kennedy (los dos ramales que salen de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