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JUSTIFICACION</w:t>
      </w:r>
    </w:p>
    <w:p>
      <w:pPr>
        <w:pStyle w:val="BodyText"/>
      </w:pPr>
      <w:r>
        <w:rPr>
          <w:bCs/>
          <w:b/>
        </w:rPr>
        <w:t xml:space="preserve">1. Antecedentes</w:t>
      </w:r>
    </w:p>
    <w:p>
      <w:pPr>
        <w:pStyle w:val="BodyText"/>
      </w:pPr>
      <w:r>
        <w:t xml:space="preserve">Como parte de la mejora continua de los programas de posgrado y con el objetivo de incrementar su calidad, se han implementado nuevas estrategias de evaluacion. Entre ellas, destaca la introduccion del</w:t>
      </w:r>
      <w:r>
        <w:t xml:space="preserve"> </w:t>
      </w:r>
      <w:r>
        <w:rPr>
          <w:bCs/>
          <w:b/>
        </w:rPr>
        <w:t xml:space="preserve">examen predoctoral</w:t>
      </w:r>
      <w:r>
        <w:t xml:space="preserve">, un proceso clave para garantizar la preparacion academica de los estudiantes de doctorado. Ademas, los procesos de seleccion de aspirantes se han fortalecido mediante la incorporacion de nuevos mecanismos de evaluacion que varian en cada convocatoria.</w:t>
      </w:r>
    </w:p>
    <w:p>
      <w:pPr>
        <w:pStyle w:val="BodyText"/>
      </w:pPr>
      <w:r>
        <w:t xml:space="preserve">Actualmente, existen</w:t>
      </w:r>
      <w:r>
        <w:t xml:space="preserve"> </w:t>
      </w:r>
      <w:r>
        <w:rPr>
          <w:bCs/>
          <w:b/>
        </w:rPr>
        <w:t xml:space="preserve">tres sistemas principales en operacion</w:t>
      </w:r>
      <w:r>
        <w:t xml:space="preserve"> </w:t>
      </w:r>
      <w:r>
        <w:t xml:space="preserve">para la gestion academica y administrativa. Su integracion y actualizacion son esenciales para atender el crecimiento institucional y mejorar la eficiencia operativa. Ademas, recientemente se han incorporado dos nuevos programas:</w:t>
      </w:r>
    </w:p>
    <w:p>
      <w:pPr>
        <w:numPr>
          <w:ilvl w:val="0"/>
          <w:numId w:val="1001"/>
        </w:numPr>
      </w:pPr>
      <w:r>
        <w:rPr>
          <w:bCs/>
          <w:b/>
        </w:rPr>
        <w:t xml:space="preserve">Especialidad para el Bienestar Comunitario en Manejo Costero</w:t>
      </w:r>
      <w:r>
        <w:t xml:space="preserve">: Modalidad principalmente en linea, lo que requiere mejoras en los servicios digitales, incluyendo la firma electronica de estudiantes y el desarrollo de nuevas plataformas tecnologicas para la educacion virtual.</w:t>
      </w:r>
    </w:p>
    <w:p>
      <w:pPr>
        <w:numPr>
          <w:ilvl w:val="0"/>
          <w:numId w:val="1001"/>
        </w:numPr>
      </w:pPr>
      <w:r>
        <w:rPr>
          <w:bCs/>
          <w:b/>
        </w:rPr>
        <w:t xml:space="preserve">Doctorado Nacional en Agroecologia</w:t>
      </w:r>
      <w:r>
        <w:t xml:space="preserve">: Exige la creacion de formatos especializados y la adaptacion del sistema de control escolar para integrar a los estudiantes sin generar confusion en la oferta de cursos.</w:t>
      </w:r>
    </w:p>
    <w:p>
      <w:pPr>
        <w:pStyle w:val="FirstParagraph"/>
      </w:pPr>
      <w:r>
        <w:t xml:space="preserve">Se preve un</w:t>
      </w:r>
      <w:r>
        <w:t xml:space="preserve"> </w:t>
      </w:r>
      <w:r>
        <w:rPr>
          <w:bCs/>
          <w:b/>
        </w:rPr>
        <w:t xml:space="preserve">incremento significativo en la matricula</w:t>
      </w:r>
      <w:r>
        <w:t xml:space="preserve"> </w:t>
      </w:r>
      <w:r>
        <w:t xml:space="preserve">en los proximos anos, lo que demandara ajustes en infraestructura, sistemas y procesos administrativos para garantizar una gestion eficiente. Ademas, se estan atendiendo compromisos administrativos, como la optimizacion de procesos en el area de tesoreria para agilizar los pagos a estudiantes y mejorar la eficiencia operativa.</w:t>
      </w:r>
    </w:p>
    <w:p>
      <w:pPr>
        <w:pStyle w:val="BodyText"/>
      </w:pPr>
      <w:r>
        <w:rPr>
          <w:bCs/>
          <w:b/>
        </w:rPr>
        <w:t xml:space="preserve">2. Situacion actual</w:t>
      </w:r>
    </w:p>
    <w:p>
      <w:pPr>
        <w:pStyle w:val="BodyText"/>
      </w:pPr>
      <w:r>
        <w:t xml:space="preserve">Los sistemas academicos y administrativos actuales permiten la emision de documentos oficiales y la gestion de procesos esenciales. Sin embargo, los nuevos programas requieren adaptaciones especificas para asegurar que estudiantes, personal academico y administrativo cuenten con informacion en tiempo real, completa y correcta para desempenar sus tareas de manera eficiente.</w:t>
      </w:r>
    </w:p>
    <w:p>
      <w:pPr>
        <w:pStyle w:val="BodyText"/>
      </w:pPr>
      <w:r>
        <w:t xml:space="preserve">En los proximos diez anos, se estima la</w:t>
      </w:r>
      <w:r>
        <w:t xml:space="preserve"> </w:t>
      </w:r>
      <w:r>
        <w:rPr>
          <w:bCs/>
          <w:b/>
        </w:rPr>
        <w:t xml:space="preserve">incorporacion de al menos 500 nuevos estudiantes</w:t>
      </w:r>
      <w:r>
        <w:t xml:space="preserve">, ademas del aumento en estudiantes visitantes, lo que incrementara los tramites y documentos administrativos. Para mejorar la gestion de recursos digitales, se requiere almacenamiento especial para materiales graficos y videos de los cursos virtuales y la posible adopcion de plataformas como</w:t>
      </w:r>
      <w:r>
        <w:t xml:space="preserve"> </w:t>
      </w:r>
      <w:r>
        <w:rPr>
          <w:bCs/>
          <w:b/>
        </w:rPr>
        <w:t xml:space="preserve">Moodle</w:t>
      </w:r>
      <w:r>
        <w:t xml:space="preserve"> </w:t>
      </w:r>
      <w:r>
        <w:t xml:space="preserve">para la emision de cursos en linea.</w:t>
      </w:r>
    </w:p>
    <w:p>
      <w:pPr>
        <w:pStyle w:val="BodyText"/>
      </w:pPr>
      <w:r>
        <w:rPr>
          <w:bCs/>
          <w:b/>
        </w:rPr>
        <w:t xml:space="preserve">3. Causas que dan origen a la contratacion</w:t>
      </w:r>
    </w:p>
    <w:p>
      <w:pPr>
        <w:pStyle w:val="BodyText"/>
      </w:pPr>
      <w:r>
        <w:t xml:space="preserve">La demanda actual de desarrollo de software supera la capacidad operativa inmediata del equipo tecnico disponible, debido a la complejidad y volumen creciente de los proyectos requeridos, lo que genera los siguientes impactos:</w:t>
      </w:r>
    </w:p>
    <w:p>
      <w:pPr>
        <w:numPr>
          <w:ilvl w:val="0"/>
          <w:numId w:val="1002"/>
        </w:numPr>
      </w:pPr>
      <w:r>
        <w:rPr>
          <w:bCs/>
          <w:b/>
        </w:rPr>
        <w:t xml:space="preserve">Demoras en la actualizacion tecnologica y mejora continua</w:t>
      </w:r>
      <w:r>
        <w:t xml:space="preserve">: La capacidad para mantener, optimizar y actualizar las tecnologias y sistemas existentes se ve limitada, lo que retrasa la adopcion de mejoras y la eficiencia en los procesos administrativos y academicos.</w:t>
      </w:r>
    </w:p>
    <w:p>
      <w:pPr>
        <w:numPr>
          <w:ilvl w:val="0"/>
          <w:numId w:val="1002"/>
        </w:numPr>
      </w:pPr>
      <w:r>
        <w:rPr>
          <w:bCs/>
          <w:b/>
        </w:rPr>
        <w:t xml:space="preserve">Limitaciones en la innovacion academica</w:t>
      </w:r>
      <w:r>
        <w:t xml:space="preserve">: Se presentan desafios para integrar oportunamente las plataformas digitales necesarias para los nuevos programas de posgrado, los cuales requieren conocimientos especializados y herramientas actualizadas.</w:t>
      </w:r>
    </w:p>
    <w:p>
      <w:pPr>
        <w:numPr>
          <w:ilvl w:val="0"/>
          <w:numId w:val="1002"/>
        </w:numPr>
      </w:pPr>
      <w:r>
        <w:rPr>
          <w:bCs/>
          <w:b/>
        </w:rPr>
        <w:t xml:space="preserve">Riesgo institucional:</w:t>
      </w:r>
      <w:r>
        <w:t xml:space="preserve"> </w:t>
      </w:r>
      <w:r>
        <w:t xml:space="preserve">Existe un mayor riesgo de incumplimiento en los compromisos con organismos reguladores y evaluadores, como SECIHTI, lo cual podria afectar la imagen y certificaciones institucionales.</w:t>
      </w:r>
    </w:p>
    <w:p>
      <w:pPr>
        <w:pStyle w:val="FirstParagraph"/>
      </w:pPr>
      <w:r>
        <w:t xml:space="preserve">Aunque el equipo interno posee un profundo conocimiento de los sistemas y procesos actuales, la complejidad tecnica y la necesidad de acelerar la ejecucion requieren el apoyo de recursos externos especializados. Esta estrategia responde a la prioridad de cumplir con los plazos establecidos y alcanzar los estandares de calidad necesarios, facilitando ademas una rapida implementacion que minimiza el tiempo de capacitacion.</w:t>
      </w:r>
    </w:p>
    <w:p>
      <w:pPr>
        <w:pStyle w:val="BodyText"/>
      </w:pPr>
      <w:r>
        <w:t xml:space="preserve">En consecuencia, fortalecer la infraestructura digital y administrativa mediante la incorporacion de sistemas modernos que permitan automatizar procesos, mejorar el almacenamiento y garantizar la integracion con plataformas digitales es fundamental. La contratacion externa, en este contexto, complementa y potencia el trabajo interno, asegurando la continuidad y eficacia del proceso de transformacion digital institucional.</w:t>
      </w:r>
    </w:p>
    <w:p>
      <w:pPr>
        <w:pStyle w:val="BodyText"/>
      </w:pPr>
      <w:r>
        <w:rPr>
          <w:bCs/>
          <w:b/>
        </w:rPr>
        <w:t xml:space="preserve">4. Anexos</w:t>
      </w:r>
    </w:p>
    <w:p>
      <w:pPr>
        <w:pStyle w:val="BodyText"/>
      </w:pPr>
      <w:r>
        <w:t xml:space="preserve">La informacion detallada de esta contratacion se presenta en los siguientes anexos del presente paquete (2026):</w:t>
      </w:r>
    </w:p>
    <w:p>
      <w:pPr>
        <w:numPr>
          <w:ilvl w:val="0"/>
          <w:numId w:val="1003"/>
        </w:numPr>
        <w:pStyle w:val="Compact"/>
      </w:pPr>
      <w:r>
        <w:rPr>
          <w:bCs/>
          <w:b/>
        </w:rPr>
        <w:t xml:space="preserve">Anexo Tecnico</w:t>
      </w:r>
      <w:r>
        <w:t xml:space="preserve"> </w:t>
      </w:r>
      <w:r>
        <w:t xml:space="preserve">(descripcion del servicio, requerimientos, niveles de servicio, confidencialidad y condiciones contractuales).</w:t>
      </w:r>
    </w:p>
    <w:p>
      <w:pPr>
        <w:numPr>
          <w:ilvl w:val="0"/>
          <w:numId w:val="1003"/>
        </w:numPr>
        <w:pStyle w:val="Compact"/>
      </w:pPr>
      <w:r>
        <w:rPr>
          <w:bCs/>
          <w:b/>
        </w:rPr>
        <w:t xml:space="preserve">Anexo Estudio de Mercado</w:t>
      </w:r>
      <w:r>
        <w:t xml:space="preserve"> </w:t>
      </w:r>
      <w:r>
        <w:t xml:space="preserve">(referencias de mercado, cotizaciones y conclusiones; documento de trabajo con secciones por completar con datos actualizados).</w:t>
      </w:r>
    </w:p>
    <w:p>
      <w:pPr>
        <w:numPr>
          <w:ilvl w:val="0"/>
          <w:numId w:val="1003"/>
        </w:numPr>
        <w:pStyle w:val="Compact"/>
      </w:pPr>
      <w:r>
        <w:rPr>
          <w:bCs/>
          <w:b/>
        </w:rPr>
        <w:t xml:space="preserve">Anexo Diagrama Conceptual</w:t>
      </w:r>
      <w:r>
        <w:t xml:space="preserve"> </w:t>
      </w:r>
      <w:r>
        <w:t xml:space="preserve">(representacion grafica del alcance funcional o arquitectura de solucion).</w:t>
      </w:r>
    </w:p>
    <w:p>
      <w:pPr>
        <w:numPr>
          <w:ilvl w:val="0"/>
          <w:numId w:val="1003"/>
        </w:numPr>
        <w:pStyle w:val="Compact"/>
      </w:pPr>
      <w:r>
        <w:rPr>
          <w:bCs/>
          <w:b/>
        </w:rPr>
        <w:t xml:space="preserve">Anexo Calendario del servicio</w:t>
      </w:r>
      <w:r>
        <w:t xml:space="preserve"> </w:t>
      </w:r>
      <w:r>
        <w:t xml:space="preserve">(periodo y hitos de ejecucion).</w:t>
      </w:r>
    </w:p>
    <w:p>
      <w:pPr>
        <w:numPr>
          <w:ilvl w:val="0"/>
          <w:numId w:val="1003"/>
        </w:numPr>
        <w:pStyle w:val="Compact"/>
      </w:pPr>
      <w:r>
        <w:rPr>
          <w:bCs/>
          <w:b/>
        </w:rPr>
        <w:t xml:space="preserve">Anexo CompraNet</w:t>
      </w:r>
      <w:r>
        <w:t xml:space="preserve"> </w:t>
      </w:r>
      <w:r>
        <w:t xml:space="preserve">(referencia de busqueda en la plataforma integral CompraNet).</w:t>
      </w:r>
    </w:p>
    <w:p>
      <w:pPr>
        <w:pStyle w:val="FirstParagraph"/>
      </w:pPr>
      <w:r>
        <w:rPr>
          <w:iCs/>
          <w:i/>
        </w:rPr>
        <w:t xml:space="preserve">Nota:</w:t>
      </w:r>
      <w:r>
        <w:t xml:space="preserve"> </w:t>
      </w:r>
      <w:r>
        <w:t xml:space="preserve">La documentacion complementaria que exijan los lineamientos vigentes de adquisiciones o la Herramienta de la Gestion (por ejemplo, dictamen de precios, formato CAAS u otros) se integrara conforme a las instrucciones institucionales aplicables al ejercicio 2026.</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Elaboro</w:t>
            </w:r>
          </w:p>
        </w:tc>
        <w:tc>
          <w:tcPr/>
          <w:p>
            <w:pPr>
              <w:pStyle w:val="Compact"/>
            </w:pPr>
          </w:p>
        </w:tc>
        <w:tc>
          <w:tcPr/>
          <w:p>
            <w:pPr>
              <w:pStyle w:val="Compact"/>
              <w:jc w:val="left"/>
            </w:pPr>
            <w:r>
              <w:t xml:space="preserve">Reviso</w:t>
            </w:r>
          </w:p>
        </w:tc>
      </w:tr>
      <w:tr>
        <w:tc>
          <w:tcPr/>
          <w:p>
            <w:pPr>
              <w:pStyle w:val="Compact"/>
              <w:jc w:val="left"/>
            </w:pPr>
            <w:r>
              <w:drawing>
                <wp:inline>
                  <wp:extent cx="927100" cy="584200"/>
                  <wp:effectExtent b="0" l="0" r="0" t="0"/>
                  <wp:docPr descr="Firma elaboro" title="" id="21" name="Picture"/>
                  <a:graphic>
                    <a:graphicData uri="http://schemas.openxmlformats.org/drawingml/2006/picture">
                      <pic:pic>
                        <pic:nvPicPr>
                          <pic:cNvPr descr="media/01_Anexo_Justificacion_ADTD_2026__image1.png" id="22" name="Picture"/>
                          <pic:cNvPicPr>
                            <a:picLocks noChangeArrowheads="1" noChangeAspect="1"/>
                          </pic:cNvPicPr>
                        </pic:nvPicPr>
                        <pic:blipFill>
                          <a:blip r:embed="rId20"/>
                          <a:stretch>
                            <a:fillRect/>
                          </a:stretch>
                        </pic:blipFill>
                        <pic:spPr bwMode="auto">
                          <a:xfrm>
                            <a:off x="0" y="0"/>
                            <a:ext cx="927100" cy="584200"/>
                          </a:xfrm>
                          <a:prstGeom prst="rect">
                            <a:avLst/>
                          </a:prstGeom>
                          <a:noFill/>
                          <a:ln w="9525">
                            <a:noFill/>
                            <a:headEnd/>
                            <a:tailEnd/>
                          </a:ln>
                        </pic:spPr>
                      </pic:pic>
                    </a:graphicData>
                  </a:graphic>
                </wp:inline>
              </w:drawing>
            </w:r>
          </w:p>
        </w:tc>
        <w:tc>
          <w:tcPr/>
          <w:p>
            <w:pPr>
              <w:pStyle w:val="Compact"/>
            </w:pPr>
          </w:p>
        </w:tc>
        <w:tc>
          <w:tcPr/>
          <w:p>
            <w:pPr>
              <w:pStyle w:val="Compact"/>
            </w:pPr>
          </w:p>
        </w:tc>
      </w:tr>
      <w:tr>
        <w:tc>
          <w:tcPr/>
          <w:p>
            <w:pPr>
              <w:pStyle w:val="Compact"/>
              <w:jc w:val="left"/>
            </w:pPr>
            <w:r>
              <w:t xml:space="preserve">Dr. Oscar Luis Briones Villarreal, Secretario de Posgrado</w:t>
            </w:r>
          </w:p>
        </w:tc>
        <w:tc>
          <w:tcPr/>
          <w:p>
            <w:pPr>
              <w:pStyle w:val="Compact"/>
            </w:pPr>
          </w:p>
        </w:tc>
        <w:tc>
          <w:tcPr/>
          <w:p>
            <w:pPr>
              <w:pStyle w:val="Compact"/>
              <w:jc w:val="left"/>
            </w:pPr>
            <w:r>
              <w:t xml:space="preserve">Unidad de Tecnologias de la Informacion y Comunicaciones</w:t>
            </w:r>
          </w:p>
        </w:tc>
      </w:tr>
    </w:tbl>
    <w:p>
      <w:pPr>
        <w:pStyle w:val="BodyText"/>
      </w:pPr>
      <w:r>
        <w:t xml:space="preserve">Xalapa, Ver. [fecha de cierre documental 2026]</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2026-03-25T00:25:02Z</dcterms:created>
  <dcterms:modified xsi:type="dcterms:W3CDTF">2026-03-25T00:25:02Z</dcterms:modified>
</cp:coreProperties>
</file>

<file path=docProps/custom.xml><?xml version="1.0" encoding="utf-8"?>
<Properties xmlns="http://schemas.openxmlformats.org/officeDocument/2006/custom-properties" xmlns:vt="http://schemas.openxmlformats.org/officeDocument/2006/docPropsVTypes"/>
</file>